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170A6" w14:textId="77777777" w:rsidR="00777668" w:rsidRDefault="00000000">
      <w:pPr>
        <w:pStyle w:val="Heading1"/>
        <w:spacing w:line="360" w:lineRule="auto"/>
        <w:jc w:val="both"/>
      </w:pPr>
      <w:r>
        <w:t>A method for comparing multiple imputation techniques: a case study on the U.S. National COVID Cohort Collaborative</w:t>
      </w:r>
    </w:p>
    <w:p w14:paraId="4FCB54F0" w14:textId="77777777" w:rsidR="00777668" w:rsidRDefault="00000000">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Elena Casiraghi</w:t>
      </w:r>
      <w:r>
        <w:rPr>
          <w:rFonts w:ascii="Times New Roman" w:eastAsia="Times New Roman" w:hAnsi="Times New Roman" w:cs="Times New Roman"/>
          <w:sz w:val="22"/>
          <w:szCs w:val="22"/>
          <w:vertAlign w:val="superscript"/>
        </w:rPr>
        <w:t>1,2,3*</w:t>
      </w:r>
      <w:r>
        <w:rPr>
          <w:rFonts w:ascii="Times New Roman" w:eastAsia="Times New Roman" w:hAnsi="Times New Roman" w:cs="Times New Roman"/>
          <w:sz w:val="22"/>
          <w:szCs w:val="22"/>
        </w:rPr>
        <w:t>, Rachel Wong</w:t>
      </w:r>
      <w:r>
        <w:rPr>
          <w:rFonts w:ascii="Times New Roman" w:eastAsia="Times New Roman" w:hAnsi="Times New Roman" w:cs="Times New Roman"/>
          <w:sz w:val="22"/>
          <w:szCs w:val="22"/>
          <w:vertAlign w:val="superscript"/>
        </w:rPr>
        <w:t>4,*</w:t>
      </w:r>
      <w:r>
        <w:rPr>
          <w:rFonts w:ascii="Times New Roman" w:eastAsia="Times New Roman" w:hAnsi="Times New Roman" w:cs="Times New Roman"/>
          <w:sz w:val="22"/>
          <w:szCs w:val="22"/>
        </w:rPr>
        <w:t>, Margaret Hall</w:t>
      </w:r>
      <w:r>
        <w:rPr>
          <w:rFonts w:ascii="Times New Roman" w:eastAsia="Times New Roman" w:hAnsi="Times New Roman" w:cs="Times New Roman"/>
          <w:sz w:val="22"/>
          <w:szCs w:val="22"/>
          <w:vertAlign w:val="superscript"/>
        </w:rPr>
        <w:t>4</w:t>
      </w:r>
      <w:r>
        <w:rPr>
          <w:rFonts w:ascii="Times New Roman" w:eastAsia="Times New Roman" w:hAnsi="Times New Roman" w:cs="Times New Roman"/>
          <w:sz w:val="22"/>
          <w:szCs w:val="22"/>
        </w:rPr>
        <w:t>,  Ben Coleman</w:t>
      </w:r>
      <w:r>
        <w:rPr>
          <w:rFonts w:ascii="Times New Roman" w:eastAsia="Times New Roman" w:hAnsi="Times New Roman" w:cs="Times New Roman"/>
          <w:sz w:val="22"/>
          <w:szCs w:val="22"/>
          <w:vertAlign w:val="superscript"/>
        </w:rPr>
        <w:t xml:space="preserve">5,6 </w:t>
      </w:r>
      <w:r>
        <w:rPr>
          <w:rFonts w:ascii="Times New Roman" w:eastAsia="Times New Roman" w:hAnsi="Times New Roman" w:cs="Times New Roman"/>
          <w:sz w:val="22"/>
          <w:szCs w:val="22"/>
        </w:rPr>
        <w:t>, Marco Notaro</w:t>
      </w:r>
      <w:r>
        <w:rPr>
          <w:rFonts w:ascii="Times New Roman" w:eastAsia="Times New Roman" w:hAnsi="Times New Roman" w:cs="Times New Roman"/>
          <w:sz w:val="22"/>
          <w:szCs w:val="22"/>
          <w:vertAlign w:val="superscript"/>
        </w:rPr>
        <w:t>1,2</w:t>
      </w:r>
      <w:r>
        <w:rPr>
          <w:rFonts w:ascii="Times New Roman" w:eastAsia="Times New Roman" w:hAnsi="Times New Roman" w:cs="Times New Roman"/>
          <w:sz w:val="22"/>
          <w:szCs w:val="22"/>
        </w:rPr>
        <w:t>, Michael D. Evans</w:t>
      </w:r>
      <w:r>
        <w:rPr>
          <w:rFonts w:ascii="Times New Roman" w:eastAsia="Times New Roman" w:hAnsi="Times New Roman" w:cs="Times New Roman"/>
          <w:sz w:val="22"/>
          <w:szCs w:val="22"/>
          <w:vertAlign w:val="superscript"/>
        </w:rPr>
        <w:t>7</w:t>
      </w:r>
      <w:r>
        <w:rPr>
          <w:rFonts w:ascii="Times New Roman" w:eastAsia="Times New Roman" w:hAnsi="Times New Roman" w:cs="Times New Roman"/>
          <w:sz w:val="22"/>
          <w:szCs w:val="22"/>
        </w:rPr>
        <w:t>, Jena S. Tronieri</w:t>
      </w:r>
      <w:r>
        <w:rPr>
          <w:rFonts w:ascii="Times New Roman" w:eastAsia="Times New Roman" w:hAnsi="Times New Roman" w:cs="Times New Roman"/>
          <w:sz w:val="22"/>
          <w:szCs w:val="22"/>
          <w:vertAlign w:val="superscript"/>
        </w:rPr>
        <w:t>8</w:t>
      </w:r>
      <w:r>
        <w:rPr>
          <w:rFonts w:ascii="Times New Roman" w:eastAsia="Times New Roman" w:hAnsi="Times New Roman" w:cs="Times New Roman"/>
          <w:sz w:val="22"/>
          <w:szCs w:val="22"/>
        </w:rPr>
        <w:t>, Hannah Blau</w:t>
      </w:r>
      <w:r>
        <w:rPr>
          <w:rFonts w:ascii="Times New Roman" w:eastAsia="Times New Roman" w:hAnsi="Times New Roman" w:cs="Times New Roman"/>
          <w:sz w:val="22"/>
          <w:szCs w:val="22"/>
          <w:vertAlign w:val="superscript"/>
        </w:rPr>
        <w:t>5</w:t>
      </w:r>
      <w:r>
        <w:rPr>
          <w:rFonts w:ascii="Times New Roman" w:eastAsia="Times New Roman" w:hAnsi="Times New Roman" w:cs="Times New Roman"/>
          <w:sz w:val="22"/>
          <w:szCs w:val="22"/>
        </w:rPr>
        <w:t>, Bryan Laraway</w:t>
      </w:r>
      <w:r>
        <w:rPr>
          <w:rFonts w:ascii="Times New Roman" w:eastAsia="Times New Roman" w:hAnsi="Times New Roman" w:cs="Times New Roman"/>
          <w:sz w:val="22"/>
          <w:szCs w:val="22"/>
          <w:vertAlign w:val="superscript"/>
        </w:rPr>
        <w:t>9</w:t>
      </w:r>
      <w:r>
        <w:rPr>
          <w:rFonts w:ascii="Times New Roman" w:eastAsia="Times New Roman" w:hAnsi="Times New Roman" w:cs="Times New Roman"/>
          <w:sz w:val="22"/>
          <w:szCs w:val="22"/>
        </w:rPr>
        <w:t>, Tiffany J. Callahan</w:t>
      </w:r>
      <w:r>
        <w:rPr>
          <w:rFonts w:ascii="Times New Roman" w:eastAsia="Times New Roman" w:hAnsi="Times New Roman" w:cs="Times New Roman"/>
          <w:sz w:val="22"/>
          <w:szCs w:val="22"/>
          <w:vertAlign w:val="superscript"/>
        </w:rPr>
        <w:t>9</w:t>
      </w:r>
      <w:r>
        <w:rPr>
          <w:rFonts w:ascii="Times New Roman" w:eastAsia="Times New Roman" w:hAnsi="Times New Roman" w:cs="Times New Roman"/>
          <w:sz w:val="22"/>
          <w:szCs w:val="22"/>
        </w:rPr>
        <w:t>, Lauren E. Chan</w:t>
      </w:r>
      <w:r>
        <w:rPr>
          <w:rFonts w:ascii="Times New Roman" w:eastAsia="Times New Roman" w:hAnsi="Times New Roman" w:cs="Times New Roman"/>
          <w:sz w:val="22"/>
          <w:szCs w:val="22"/>
          <w:vertAlign w:val="superscript"/>
        </w:rPr>
        <w:t xml:space="preserve">10 </w:t>
      </w:r>
      <w:r>
        <w:rPr>
          <w:rFonts w:ascii="Times New Roman" w:eastAsia="Times New Roman" w:hAnsi="Times New Roman" w:cs="Times New Roman"/>
          <w:sz w:val="22"/>
          <w:szCs w:val="22"/>
        </w:rPr>
        <w:t>, Carolyn T. Bramante</w:t>
      </w:r>
      <w:r>
        <w:rPr>
          <w:rFonts w:ascii="Times New Roman" w:eastAsia="Times New Roman" w:hAnsi="Times New Roman" w:cs="Times New Roman"/>
          <w:sz w:val="22"/>
          <w:szCs w:val="22"/>
          <w:vertAlign w:val="superscript"/>
        </w:rPr>
        <w:t>11</w:t>
      </w:r>
      <w:r>
        <w:rPr>
          <w:rFonts w:ascii="Times New Roman" w:eastAsia="Times New Roman" w:hAnsi="Times New Roman" w:cs="Times New Roman"/>
          <w:sz w:val="22"/>
          <w:szCs w:val="22"/>
        </w:rPr>
        <w:t>, John B. Buse</w:t>
      </w:r>
      <w:r>
        <w:rPr>
          <w:rFonts w:ascii="Times New Roman" w:eastAsia="Times New Roman" w:hAnsi="Times New Roman" w:cs="Times New Roman"/>
          <w:sz w:val="22"/>
          <w:szCs w:val="22"/>
          <w:vertAlign w:val="superscript"/>
        </w:rPr>
        <w:t>12,13</w:t>
      </w:r>
      <w:r>
        <w:rPr>
          <w:rFonts w:ascii="Times New Roman" w:eastAsia="Times New Roman" w:hAnsi="Times New Roman" w:cs="Times New Roman"/>
          <w:sz w:val="22"/>
          <w:szCs w:val="22"/>
        </w:rPr>
        <w:t>, Richard A. Moffitt</w:t>
      </w:r>
      <w:r>
        <w:rPr>
          <w:rFonts w:ascii="Times New Roman" w:eastAsia="Times New Roman" w:hAnsi="Times New Roman" w:cs="Times New Roman"/>
          <w:sz w:val="22"/>
          <w:szCs w:val="22"/>
          <w:vertAlign w:val="superscript"/>
        </w:rPr>
        <w:t>4</w:t>
      </w:r>
      <w:r>
        <w:rPr>
          <w:rFonts w:ascii="Times New Roman" w:eastAsia="Times New Roman" w:hAnsi="Times New Roman" w:cs="Times New Roman"/>
          <w:sz w:val="22"/>
          <w:szCs w:val="22"/>
        </w:rPr>
        <w:t xml:space="preserve">,  </w:t>
      </w:r>
      <w:proofErr w:type="spellStart"/>
      <w:r>
        <w:rPr>
          <w:rFonts w:ascii="Times New Roman" w:eastAsia="Times New Roman" w:hAnsi="Times New Roman" w:cs="Times New Roman"/>
          <w:sz w:val="22"/>
          <w:szCs w:val="22"/>
        </w:rPr>
        <w:t>Til</w:t>
      </w:r>
      <w:proofErr w:type="spellEnd"/>
      <w:r>
        <w:rPr>
          <w:rFonts w:ascii="Times New Roman" w:eastAsia="Times New Roman" w:hAnsi="Times New Roman" w:cs="Times New Roman"/>
          <w:sz w:val="22"/>
          <w:szCs w:val="22"/>
        </w:rPr>
        <w:t xml:space="preserve"> Stürmer</w:t>
      </w:r>
      <w:r>
        <w:rPr>
          <w:rFonts w:ascii="Times New Roman" w:eastAsia="Times New Roman" w:hAnsi="Times New Roman" w:cs="Times New Roman"/>
          <w:sz w:val="22"/>
          <w:szCs w:val="22"/>
          <w:vertAlign w:val="superscript"/>
        </w:rPr>
        <w:t>14</w:t>
      </w:r>
      <w:r>
        <w:rPr>
          <w:rFonts w:ascii="Times New Roman" w:eastAsia="Times New Roman" w:hAnsi="Times New Roman" w:cs="Times New Roman"/>
          <w:sz w:val="22"/>
          <w:szCs w:val="22"/>
        </w:rPr>
        <w:t>, Steven G. Johnson</w:t>
      </w:r>
      <w:r>
        <w:rPr>
          <w:rFonts w:ascii="Times New Roman" w:eastAsia="Times New Roman" w:hAnsi="Times New Roman" w:cs="Times New Roman"/>
          <w:sz w:val="22"/>
          <w:szCs w:val="22"/>
          <w:vertAlign w:val="superscript"/>
        </w:rPr>
        <w:t xml:space="preserve">15 </w:t>
      </w:r>
      <w:r>
        <w:rPr>
          <w:rFonts w:ascii="Times New Roman" w:eastAsia="Times New Roman" w:hAnsi="Times New Roman" w:cs="Times New Roman"/>
          <w:sz w:val="22"/>
          <w:szCs w:val="22"/>
        </w:rPr>
        <w:t>, Yu Raymond Shao</w:t>
      </w:r>
      <w:r>
        <w:rPr>
          <w:rFonts w:ascii="Times New Roman" w:eastAsia="Times New Roman" w:hAnsi="Times New Roman" w:cs="Times New Roman"/>
          <w:sz w:val="22"/>
          <w:szCs w:val="22"/>
          <w:vertAlign w:val="superscript"/>
        </w:rPr>
        <w:t>16,17</w:t>
      </w:r>
      <w:r>
        <w:rPr>
          <w:rFonts w:ascii="Times New Roman" w:eastAsia="Times New Roman" w:hAnsi="Times New Roman" w:cs="Times New Roman"/>
          <w:sz w:val="22"/>
          <w:szCs w:val="22"/>
        </w:rPr>
        <w:t>, Justin Reese</w:t>
      </w:r>
      <w:r>
        <w:rPr>
          <w:rFonts w:ascii="Times New Roman" w:eastAsia="Times New Roman" w:hAnsi="Times New Roman" w:cs="Times New Roman"/>
          <w:sz w:val="22"/>
          <w:szCs w:val="22"/>
          <w:vertAlign w:val="superscript"/>
        </w:rPr>
        <w:t>3</w:t>
      </w:r>
      <w:r>
        <w:rPr>
          <w:rFonts w:ascii="Times New Roman" w:eastAsia="Times New Roman" w:hAnsi="Times New Roman" w:cs="Times New Roman"/>
          <w:sz w:val="22"/>
          <w:szCs w:val="22"/>
        </w:rPr>
        <w:t>, Peter N. Robinson</w:t>
      </w:r>
      <w:r>
        <w:rPr>
          <w:rFonts w:ascii="Times New Roman" w:eastAsia="Times New Roman" w:hAnsi="Times New Roman" w:cs="Times New Roman"/>
          <w:sz w:val="22"/>
          <w:szCs w:val="22"/>
          <w:vertAlign w:val="superscript"/>
        </w:rPr>
        <w:t>5,6</w:t>
      </w:r>
      <w:r>
        <w:rPr>
          <w:rFonts w:ascii="Times New Roman" w:eastAsia="Times New Roman" w:hAnsi="Times New Roman" w:cs="Times New Roman"/>
          <w:sz w:val="22"/>
          <w:szCs w:val="22"/>
        </w:rPr>
        <w:t>, Alberto Paccanaro</w:t>
      </w:r>
      <w:r>
        <w:rPr>
          <w:rFonts w:ascii="Times New Roman" w:eastAsia="Times New Roman" w:hAnsi="Times New Roman" w:cs="Times New Roman"/>
          <w:sz w:val="22"/>
          <w:szCs w:val="22"/>
          <w:vertAlign w:val="superscript"/>
        </w:rPr>
        <w:t>18,19</w:t>
      </w:r>
      <w:r>
        <w:rPr>
          <w:rFonts w:ascii="Times New Roman" w:eastAsia="Times New Roman" w:hAnsi="Times New Roman" w:cs="Times New Roman"/>
          <w:sz w:val="22"/>
          <w:szCs w:val="22"/>
        </w:rPr>
        <w:t>, Giorgio Valentini</w:t>
      </w:r>
      <w:r>
        <w:rPr>
          <w:rFonts w:ascii="Times New Roman" w:eastAsia="Times New Roman" w:hAnsi="Times New Roman" w:cs="Times New Roman"/>
          <w:sz w:val="22"/>
          <w:szCs w:val="22"/>
          <w:vertAlign w:val="superscript"/>
        </w:rPr>
        <w:t>1,2</w:t>
      </w:r>
      <w:r>
        <w:rPr>
          <w:rFonts w:ascii="Times New Roman" w:eastAsia="Times New Roman" w:hAnsi="Times New Roman" w:cs="Times New Roman"/>
          <w:sz w:val="22"/>
          <w:szCs w:val="22"/>
        </w:rPr>
        <w:t>, Jared D. Huling</w:t>
      </w:r>
      <w:r>
        <w:rPr>
          <w:rFonts w:ascii="Times New Roman" w:eastAsia="Times New Roman" w:hAnsi="Times New Roman" w:cs="Times New Roman"/>
          <w:sz w:val="22"/>
          <w:szCs w:val="22"/>
          <w:vertAlign w:val="superscript"/>
        </w:rPr>
        <w:t>20,**</w:t>
      </w:r>
      <w:r>
        <w:rPr>
          <w:rFonts w:ascii="Times New Roman" w:eastAsia="Times New Roman" w:hAnsi="Times New Roman" w:cs="Times New Roman"/>
          <w:sz w:val="22"/>
          <w:szCs w:val="22"/>
        </w:rPr>
        <w:t xml:space="preserve"> and Kenneth J. Wilkins</w:t>
      </w:r>
      <w:r>
        <w:rPr>
          <w:rFonts w:ascii="Times New Roman" w:eastAsia="Times New Roman" w:hAnsi="Times New Roman" w:cs="Times New Roman"/>
          <w:sz w:val="22"/>
          <w:szCs w:val="22"/>
          <w:vertAlign w:val="superscript"/>
        </w:rPr>
        <w:t xml:space="preserve">21,** </w:t>
      </w:r>
      <w:r>
        <w:rPr>
          <w:rFonts w:ascii="Times New Roman" w:eastAsia="Times New Roman" w:hAnsi="Times New Roman" w:cs="Times New Roman"/>
          <w:sz w:val="22"/>
          <w:szCs w:val="22"/>
        </w:rPr>
        <w:t>on behalf of the N3C Consortium</w:t>
      </w:r>
    </w:p>
    <w:p w14:paraId="468663B6" w14:textId="77777777" w:rsidR="00777668" w:rsidRDefault="00777668">
      <w:pPr>
        <w:spacing w:line="360" w:lineRule="auto"/>
        <w:jc w:val="both"/>
        <w:rPr>
          <w:rFonts w:ascii="Times New Roman" w:eastAsia="Times New Roman" w:hAnsi="Times New Roman" w:cs="Times New Roman"/>
          <w:sz w:val="22"/>
          <w:szCs w:val="22"/>
        </w:rPr>
      </w:pPr>
    </w:p>
    <w:p w14:paraId="2CAC25DE" w14:textId="77777777" w:rsidR="00777668" w:rsidRPr="00955776" w:rsidRDefault="00000000">
      <w:pPr>
        <w:spacing w:line="276" w:lineRule="auto"/>
        <w:jc w:val="both"/>
        <w:rPr>
          <w:rFonts w:ascii="Times New Roman" w:eastAsia="Times New Roman" w:hAnsi="Times New Roman" w:cs="Times New Roman"/>
          <w:sz w:val="20"/>
          <w:szCs w:val="20"/>
          <w:lang w:val="it-IT"/>
        </w:rPr>
      </w:pPr>
      <w:r w:rsidRPr="00955776">
        <w:rPr>
          <w:rFonts w:ascii="Times New Roman" w:eastAsia="Times New Roman" w:hAnsi="Times New Roman" w:cs="Times New Roman"/>
          <w:sz w:val="20"/>
          <w:szCs w:val="20"/>
          <w:vertAlign w:val="superscript"/>
          <w:lang w:val="it-IT"/>
        </w:rPr>
        <w:t>1</w:t>
      </w:r>
      <w:r w:rsidRPr="00955776">
        <w:rPr>
          <w:rFonts w:ascii="Times New Roman" w:eastAsia="Times New Roman" w:hAnsi="Times New Roman" w:cs="Times New Roman"/>
          <w:sz w:val="20"/>
          <w:szCs w:val="20"/>
          <w:lang w:val="it-IT"/>
        </w:rPr>
        <w:t xml:space="preserve"> </w:t>
      </w:r>
      <w:proofErr w:type="spellStart"/>
      <w:r w:rsidRPr="00955776">
        <w:rPr>
          <w:rFonts w:ascii="Times New Roman" w:eastAsia="Times New Roman" w:hAnsi="Times New Roman" w:cs="Times New Roman"/>
          <w:sz w:val="20"/>
          <w:szCs w:val="20"/>
          <w:lang w:val="it-IT"/>
        </w:rPr>
        <w:t>AnacletoLab</w:t>
      </w:r>
      <w:proofErr w:type="spellEnd"/>
      <w:r w:rsidRPr="00955776">
        <w:rPr>
          <w:rFonts w:ascii="Times New Roman" w:eastAsia="Times New Roman" w:hAnsi="Times New Roman" w:cs="Times New Roman"/>
          <w:sz w:val="20"/>
          <w:szCs w:val="20"/>
          <w:lang w:val="it-IT"/>
        </w:rPr>
        <w:t>, Department of Computer Science “Giovanni degli Antoni”, Università degli Studi di Milano, Milan, ITALY</w:t>
      </w:r>
    </w:p>
    <w:p w14:paraId="63358CF0" w14:textId="77777777" w:rsidR="00777668" w:rsidRPr="00955776" w:rsidRDefault="00000000">
      <w:pPr>
        <w:spacing w:line="276" w:lineRule="auto"/>
        <w:jc w:val="both"/>
        <w:rPr>
          <w:rFonts w:ascii="Times New Roman" w:eastAsia="Times New Roman" w:hAnsi="Times New Roman" w:cs="Times New Roman"/>
          <w:sz w:val="20"/>
          <w:szCs w:val="20"/>
          <w:lang w:val="it-IT"/>
        </w:rPr>
      </w:pPr>
      <w:r w:rsidRPr="00955776">
        <w:rPr>
          <w:rFonts w:ascii="Times New Roman" w:eastAsia="Times New Roman" w:hAnsi="Times New Roman" w:cs="Times New Roman"/>
          <w:sz w:val="20"/>
          <w:szCs w:val="20"/>
          <w:vertAlign w:val="superscript"/>
          <w:lang w:val="it-IT"/>
        </w:rPr>
        <w:t>2</w:t>
      </w:r>
      <w:r w:rsidRPr="00955776">
        <w:rPr>
          <w:rFonts w:ascii="Times New Roman" w:eastAsia="Times New Roman" w:hAnsi="Times New Roman" w:cs="Times New Roman"/>
          <w:sz w:val="20"/>
          <w:szCs w:val="20"/>
          <w:lang w:val="it-IT"/>
        </w:rPr>
        <w:t xml:space="preserve"> CINI, </w:t>
      </w:r>
      <w:proofErr w:type="spellStart"/>
      <w:r w:rsidRPr="00955776">
        <w:rPr>
          <w:rFonts w:ascii="Times New Roman" w:eastAsia="Times New Roman" w:hAnsi="Times New Roman" w:cs="Times New Roman"/>
          <w:sz w:val="20"/>
          <w:szCs w:val="20"/>
          <w:lang w:val="it-IT"/>
        </w:rPr>
        <w:t>Infolife</w:t>
      </w:r>
      <w:proofErr w:type="spellEnd"/>
      <w:r w:rsidRPr="00955776">
        <w:rPr>
          <w:rFonts w:ascii="Times New Roman" w:eastAsia="Times New Roman" w:hAnsi="Times New Roman" w:cs="Times New Roman"/>
          <w:sz w:val="20"/>
          <w:szCs w:val="20"/>
          <w:lang w:val="it-IT"/>
        </w:rPr>
        <w:t xml:space="preserve"> National </w:t>
      </w:r>
      <w:proofErr w:type="spellStart"/>
      <w:r w:rsidRPr="00955776">
        <w:rPr>
          <w:rFonts w:ascii="Times New Roman" w:eastAsia="Times New Roman" w:hAnsi="Times New Roman" w:cs="Times New Roman"/>
          <w:sz w:val="20"/>
          <w:szCs w:val="20"/>
          <w:lang w:val="it-IT"/>
        </w:rPr>
        <w:t>Laboratory</w:t>
      </w:r>
      <w:proofErr w:type="spellEnd"/>
      <w:r w:rsidRPr="00955776">
        <w:rPr>
          <w:rFonts w:ascii="Times New Roman" w:eastAsia="Times New Roman" w:hAnsi="Times New Roman" w:cs="Times New Roman"/>
          <w:sz w:val="20"/>
          <w:szCs w:val="20"/>
          <w:lang w:val="it-IT"/>
        </w:rPr>
        <w:t>, Roma, ITALY</w:t>
      </w:r>
    </w:p>
    <w:p w14:paraId="186CC47B"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3</w:t>
      </w:r>
      <w:r>
        <w:rPr>
          <w:rFonts w:ascii="Times New Roman" w:eastAsia="Times New Roman" w:hAnsi="Times New Roman" w:cs="Times New Roman"/>
          <w:sz w:val="20"/>
          <w:szCs w:val="20"/>
        </w:rPr>
        <w:t xml:space="preserve"> Environmental Genomics and Systems Biology Division, Lawrence Berkeley National Laboratory, Berkeley, CA, USA</w:t>
      </w:r>
    </w:p>
    <w:p w14:paraId="1FBA6EBD"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4</w:t>
      </w:r>
      <w:r>
        <w:rPr>
          <w:rFonts w:ascii="Times New Roman" w:eastAsia="Times New Roman" w:hAnsi="Times New Roman" w:cs="Times New Roman"/>
          <w:sz w:val="20"/>
          <w:szCs w:val="20"/>
        </w:rPr>
        <w:t xml:space="preserve"> Department of Biomedical Informatics, Stony Brook University, Stony Brook, NY, USA</w:t>
      </w:r>
    </w:p>
    <w:p w14:paraId="4E370A26"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5 </w:t>
      </w:r>
      <w:r>
        <w:rPr>
          <w:rFonts w:ascii="Times New Roman" w:eastAsia="Times New Roman" w:hAnsi="Times New Roman" w:cs="Times New Roman"/>
          <w:sz w:val="20"/>
          <w:szCs w:val="20"/>
        </w:rPr>
        <w:t>The Jackson Laboratory for Genomic Medicine, Farmington, USA</w:t>
      </w:r>
    </w:p>
    <w:p w14:paraId="308D2434"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6 </w:t>
      </w:r>
      <w:r>
        <w:rPr>
          <w:rFonts w:ascii="Times New Roman" w:eastAsia="Times New Roman" w:hAnsi="Times New Roman" w:cs="Times New Roman"/>
          <w:sz w:val="20"/>
          <w:szCs w:val="20"/>
        </w:rPr>
        <w:t>Institute for Systems Genomics, University of Connecticut, Farmington, CT, USA</w:t>
      </w:r>
    </w:p>
    <w:p w14:paraId="31B2B4E9"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7 </w:t>
      </w:r>
      <w:r>
        <w:rPr>
          <w:rFonts w:ascii="Times New Roman" w:eastAsia="Times New Roman" w:hAnsi="Times New Roman" w:cs="Times New Roman"/>
          <w:sz w:val="20"/>
          <w:szCs w:val="20"/>
        </w:rPr>
        <w:t>Biostatistical Design and Analysis Center, Clinical and Translational Science Institute, University of Minnesota, Minneapolis, MN, USA</w:t>
      </w:r>
    </w:p>
    <w:p w14:paraId="2FD31634"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 8 </w:t>
      </w:r>
      <w:r>
        <w:rPr>
          <w:rFonts w:ascii="Times New Roman" w:eastAsia="Times New Roman" w:hAnsi="Times New Roman" w:cs="Times New Roman"/>
          <w:sz w:val="20"/>
          <w:szCs w:val="20"/>
        </w:rPr>
        <w:t>Department of Psychiatry, Perelman School of Medicine at the University of Pennsylvania, Philadelphia, PA, USA</w:t>
      </w:r>
    </w:p>
    <w:p w14:paraId="50078E46"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9 </w:t>
      </w:r>
      <w:r>
        <w:rPr>
          <w:rFonts w:ascii="Times New Roman" w:eastAsia="Times New Roman" w:hAnsi="Times New Roman" w:cs="Times New Roman"/>
          <w:sz w:val="20"/>
          <w:szCs w:val="20"/>
        </w:rPr>
        <w:t>University of Colorado, Anschutz Medical Campus, Aurora, CO, USA</w:t>
      </w:r>
    </w:p>
    <w:p w14:paraId="4CE9F4E9"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10 </w:t>
      </w:r>
      <w:r>
        <w:rPr>
          <w:rFonts w:ascii="Times New Roman" w:eastAsia="Times New Roman" w:hAnsi="Times New Roman" w:cs="Times New Roman"/>
          <w:sz w:val="20"/>
          <w:szCs w:val="20"/>
        </w:rPr>
        <w:t>College of Public Health and Human Sciences, Oregon State University, Corvallis, USA</w:t>
      </w:r>
    </w:p>
    <w:p w14:paraId="4665748C"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11</w:t>
      </w:r>
      <w:r>
        <w:rPr>
          <w:rFonts w:ascii="Times New Roman" w:eastAsia="Times New Roman" w:hAnsi="Times New Roman" w:cs="Times New Roman"/>
          <w:sz w:val="20"/>
          <w:szCs w:val="20"/>
        </w:rPr>
        <w:t xml:space="preserve"> Division of General Internal Medicine, University of Minnesota, Minneapolis, MN, USA</w:t>
      </w:r>
    </w:p>
    <w:p w14:paraId="3D34F9E6"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12</w:t>
      </w:r>
      <w:r>
        <w:rPr>
          <w:rFonts w:ascii="Times New Roman" w:eastAsia="Times New Roman" w:hAnsi="Times New Roman" w:cs="Times New Roman"/>
          <w:sz w:val="20"/>
          <w:szCs w:val="20"/>
        </w:rPr>
        <w:t xml:space="preserve"> NC Translational and Clinical Sciences Institute, University of North Carolina at Chapel Hill, Chapel Hill, NC, USA</w:t>
      </w:r>
    </w:p>
    <w:p w14:paraId="3463BAA2"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13</w:t>
      </w:r>
      <w:r>
        <w:rPr>
          <w:rFonts w:ascii="Times New Roman" w:eastAsia="Times New Roman" w:hAnsi="Times New Roman" w:cs="Times New Roman"/>
          <w:sz w:val="20"/>
          <w:szCs w:val="20"/>
        </w:rPr>
        <w:t xml:space="preserve"> Division of Endocrinology, Department of Medicine, University of North Carolina School of Medicine, USA</w:t>
      </w:r>
    </w:p>
    <w:p w14:paraId="70FB96AA"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14 </w:t>
      </w:r>
      <w:r>
        <w:rPr>
          <w:rFonts w:ascii="Times New Roman" w:eastAsia="Times New Roman" w:hAnsi="Times New Roman" w:cs="Times New Roman"/>
          <w:sz w:val="20"/>
          <w:szCs w:val="20"/>
        </w:rPr>
        <w:t xml:space="preserve">Department of Epidemiology, </w:t>
      </w:r>
      <w:proofErr w:type="spellStart"/>
      <w:r>
        <w:rPr>
          <w:rFonts w:ascii="Times New Roman" w:eastAsia="Times New Roman" w:hAnsi="Times New Roman" w:cs="Times New Roman"/>
          <w:sz w:val="20"/>
          <w:szCs w:val="20"/>
        </w:rPr>
        <w:t>Gillings</w:t>
      </w:r>
      <w:proofErr w:type="spellEnd"/>
      <w:r>
        <w:rPr>
          <w:rFonts w:ascii="Times New Roman" w:eastAsia="Times New Roman" w:hAnsi="Times New Roman" w:cs="Times New Roman"/>
          <w:sz w:val="20"/>
          <w:szCs w:val="20"/>
        </w:rPr>
        <w:t xml:space="preserve"> School of Global Public Health, University of North Carolina at Chapel Hill, Chapel Hill, NC, USA</w:t>
      </w:r>
    </w:p>
    <w:p w14:paraId="7ECFF256"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15 </w:t>
      </w:r>
      <w:r>
        <w:rPr>
          <w:rFonts w:ascii="Times New Roman" w:eastAsia="Times New Roman" w:hAnsi="Times New Roman" w:cs="Times New Roman"/>
          <w:sz w:val="20"/>
          <w:szCs w:val="20"/>
        </w:rPr>
        <w:t>Institute for Health Informatics, University of Minnesota, Minneapolis, MN, USA</w:t>
      </w:r>
    </w:p>
    <w:p w14:paraId="0A90D3BE"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16 </w:t>
      </w:r>
      <w:r>
        <w:rPr>
          <w:rFonts w:ascii="Times New Roman" w:eastAsia="Times New Roman" w:hAnsi="Times New Roman" w:cs="Times New Roman"/>
          <w:sz w:val="20"/>
          <w:szCs w:val="20"/>
        </w:rPr>
        <w:t>Harvard-MIT Division of Health Sciences and Technology (HST), 260 Longwood Ave, Boston, USA</w:t>
      </w:r>
    </w:p>
    <w:p w14:paraId="7117D54B"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17</w:t>
      </w:r>
      <w:r>
        <w:rPr>
          <w:rFonts w:ascii="Times New Roman" w:eastAsia="Times New Roman" w:hAnsi="Times New Roman" w:cs="Times New Roman"/>
          <w:sz w:val="20"/>
          <w:szCs w:val="20"/>
        </w:rPr>
        <w:t xml:space="preserve"> Department of Radiation Oncology, UT Southwestern Medical Center, Dallas, USA</w:t>
      </w:r>
    </w:p>
    <w:p w14:paraId="3A5EA412"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18 </w:t>
      </w:r>
      <w:r>
        <w:rPr>
          <w:rFonts w:ascii="Times New Roman" w:eastAsia="Times New Roman" w:hAnsi="Times New Roman" w:cs="Times New Roman"/>
          <w:sz w:val="20"/>
          <w:szCs w:val="20"/>
        </w:rPr>
        <w:t>School of Applied Mathematics (</w:t>
      </w:r>
      <w:proofErr w:type="spellStart"/>
      <w:r>
        <w:rPr>
          <w:rFonts w:ascii="Times New Roman" w:eastAsia="Times New Roman" w:hAnsi="Times New Roman" w:cs="Times New Roman"/>
          <w:sz w:val="20"/>
          <w:szCs w:val="20"/>
        </w:rPr>
        <w:t>EMAp</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Fundação</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Getúlio</w:t>
      </w:r>
      <w:proofErr w:type="spellEnd"/>
      <w:r>
        <w:rPr>
          <w:rFonts w:ascii="Times New Roman" w:eastAsia="Times New Roman" w:hAnsi="Times New Roman" w:cs="Times New Roman"/>
          <w:sz w:val="20"/>
          <w:szCs w:val="20"/>
        </w:rPr>
        <w:t xml:space="preserve"> Vargas, Rio de Janeiro, BRAZIL</w:t>
      </w:r>
    </w:p>
    <w:p w14:paraId="5BC909E6"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 xml:space="preserve">19 </w:t>
      </w:r>
      <w:r>
        <w:rPr>
          <w:rFonts w:ascii="Times New Roman" w:eastAsia="Times New Roman" w:hAnsi="Times New Roman" w:cs="Times New Roman"/>
          <w:sz w:val="20"/>
          <w:szCs w:val="20"/>
        </w:rPr>
        <w:t xml:space="preserve">Department of Computer Science, Royal Holloway, University of London, </w:t>
      </w:r>
      <w:proofErr w:type="spellStart"/>
      <w:r>
        <w:rPr>
          <w:rFonts w:ascii="Times New Roman" w:eastAsia="Times New Roman" w:hAnsi="Times New Roman" w:cs="Times New Roman"/>
          <w:sz w:val="20"/>
          <w:szCs w:val="20"/>
        </w:rPr>
        <w:t>Egham</w:t>
      </w:r>
      <w:proofErr w:type="spellEnd"/>
      <w:r>
        <w:rPr>
          <w:rFonts w:ascii="Times New Roman" w:eastAsia="Times New Roman" w:hAnsi="Times New Roman" w:cs="Times New Roman"/>
          <w:sz w:val="20"/>
          <w:szCs w:val="20"/>
        </w:rPr>
        <w:t>, UK</w:t>
      </w:r>
    </w:p>
    <w:p w14:paraId="4A8DA1B5"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20</w:t>
      </w:r>
      <w:r>
        <w:rPr>
          <w:rFonts w:ascii="Times New Roman" w:eastAsia="Times New Roman" w:hAnsi="Times New Roman" w:cs="Times New Roman"/>
          <w:sz w:val="20"/>
          <w:szCs w:val="20"/>
        </w:rPr>
        <w:t xml:space="preserve"> Division of Biostatistics, School of Public Health, University of Minnesota, Minneapolis, MN, USA</w:t>
      </w:r>
    </w:p>
    <w:p w14:paraId="36817ED6"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21</w:t>
      </w:r>
      <w:r>
        <w:rPr>
          <w:rFonts w:ascii="Times New Roman" w:eastAsia="Times New Roman" w:hAnsi="Times New Roman" w:cs="Times New Roman"/>
          <w:sz w:val="20"/>
          <w:szCs w:val="20"/>
        </w:rPr>
        <w:t xml:space="preserve"> Biostatistics Program, Office of the Director, National Institute of Diabetes and Digestive and Kidney Diseases, National Institutes of Health, Bethesda, MD, USA</w:t>
      </w:r>
    </w:p>
    <w:p w14:paraId="20EBA8AB" w14:textId="77777777" w:rsidR="00777668" w:rsidRDefault="00777668">
      <w:pPr>
        <w:spacing w:line="360" w:lineRule="auto"/>
        <w:jc w:val="both"/>
        <w:rPr>
          <w:rFonts w:ascii="Times New Roman" w:eastAsia="Times New Roman" w:hAnsi="Times New Roman" w:cs="Times New Roman"/>
          <w:sz w:val="20"/>
          <w:szCs w:val="20"/>
        </w:rPr>
      </w:pPr>
    </w:p>
    <w:p w14:paraId="0BB26232"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N3C Consortium: Tell Bennet, Christopher Chute, Peter DeWitt, Kenneth </w:t>
      </w:r>
      <w:proofErr w:type="spellStart"/>
      <w:r>
        <w:rPr>
          <w:rFonts w:ascii="Times New Roman" w:eastAsia="Times New Roman" w:hAnsi="Times New Roman" w:cs="Times New Roman"/>
          <w:sz w:val="20"/>
          <w:szCs w:val="20"/>
        </w:rPr>
        <w:t>Gersing</w:t>
      </w:r>
      <w:proofErr w:type="spellEnd"/>
      <w:r>
        <w:rPr>
          <w:rFonts w:ascii="Times New Roman" w:eastAsia="Times New Roman" w:hAnsi="Times New Roman" w:cs="Times New Roman"/>
          <w:sz w:val="20"/>
          <w:szCs w:val="20"/>
        </w:rPr>
        <w:t xml:space="preserve">, Andrew </w:t>
      </w:r>
      <w:proofErr w:type="spellStart"/>
      <w:r>
        <w:rPr>
          <w:rFonts w:ascii="Times New Roman" w:eastAsia="Times New Roman" w:hAnsi="Times New Roman" w:cs="Times New Roman"/>
          <w:sz w:val="20"/>
          <w:szCs w:val="20"/>
        </w:rPr>
        <w:t>Girvin</w:t>
      </w:r>
      <w:proofErr w:type="spellEnd"/>
      <w:r>
        <w:rPr>
          <w:rFonts w:ascii="Times New Roman" w:eastAsia="Times New Roman" w:hAnsi="Times New Roman" w:cs="Times New Roman"/>
          <w:sz w:val="20"/>
          <w:szCs w:val="20"/>
        </w:rPr>
        <w:t xml:space="preserve">, Melissa </w:t>
      </w:r>
      <w:proofErr w:type="spellStart"/>
      <w:r>
        <w:rPr>
          <w:rFonts w:ascii="Times New Roman" w:eastAsia="Times New Roman" w:hAnsi="Times New Roman" w:cs="Times New Roman"/>
          <w:sz w:val="20"/>
          <w:szCs w:val="20"/>
        </w:rPr>
        <w:t>Haendel</w:t>
      </w:r>
      <w:proofErr w:type="spellEnd"/>
      <w:r>
        <w:rPr>
          <w:rFonts w:ascii="Times New Roman" w:eastAsia="Times New Roman" w:hAnsi="Times New Roman" w:cs="Times New Roman"/>
          <w:sz w:val="20"/>
          <w:szCs w:val="20"/>
        </w:rPr>
        <w:t xml:space="preserve">, Jeremy Harper, Janos </w:t>
      </w:r>
      <w:proofErr w:type="spellStart"/>
      <w:r>
        <w:rPr>
          <w:rFonts w:ascii="Times New Roman" w:eastAsia="Times New Roman" w:hAnsi="Times New Roman" w:cs="Times New Roman"/>
          <w:sz w:val="20"/>
          <w:szCs w:val="20"/>
        </w:rPr>
        <w:t>Hajagos</w:t>
      </w:r>
      <w:proofErr w:type="spellEnd"/>
      <w:r>
        <w:rPr>
          <w:rFonts w:ascii="Times New Roman" w:eastAsia="Times New Roman" w:hAnsi="Times New Roman" w:cs="Times New Roman"/>
          <w:sz w:val="20"/>
          <w:szCs w:val="20"/>
        </w:rPr>
        <w:t xml:space="preserve">, Stephanie Hong, Emily Pfaff, Jane </w:t>
      </w:r>
      <w:proofErr w:type="spellStart"/>
      <w:r>
        <w:rPr>
          <w:rFonts w:ascii="Times New Roman" w:eastAsia="Times New Roman" w:hAnsi="Times New Roman" w:cs="Times New Roman"/>
          <w:sz w:val="20"/>
          <w:szCs w:val="20"/>
        </w:rPr>
        <w:t>Reusch</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Corneliu</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Antoniescu</w:t>
      </w:r>
      <w:proofErr w:type="spellEnd"/>
      <w:r>
        <w:rPr>
          <w:rFonts w:ascii="Times New Roman" w:eastAsia="Times New Roman" w:hAnsi="Times New Roman" w:cs="Times New Roman"/>
          <w:sz w:val="20"/>
          <w:szCs w:val="20"/>
        </w:rPr>
        <w:t xml:space="preserve">, Kimberly </w:t>
      </w:r>
      <w:proofErr w:type="spellStart"/>
      <w:r>
        <w:rPr>
          <w:rFonts w:ascii="Times New Roman" w:eastAsia="Times New Roman" w:hAnsi="Times New Roman" w:cs="Times New Roman"/>
          <w:sz w:val="20"/>
          <w:szCs w:val="20"/>
        </w:rPr>
        <w:t>Robaski</w:t>
      </w:r>
      <w:proofErr w:type="spellEnd"/>
      <w:r>
        <w:rPr>
          <w:rFonts w:ascii="Times New Roman" w:eastAsia="Times New Roman" w:hAnsi="Times New Roman" w:cs="Times New Roman"/>
          <w:sz w:val="20"/>
          <w:szCs w:val="20"/>
        </w:rPr>
        <w:t> </w:t>
      </w:r>
    </w:p>
    <w:p w14:paraId="556DC2DF"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Corresponding Authors (*): Elena Casiraghi, Rachel Wong</w:t>
      </w:r>
    </w:p>
    <w:p w14:paraId="6ED9D361" w14:textId="77777777" w:rsidR="00777668" w:rsidRDefault="00000000">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Co-senior Authorship (**): Jared D </w:t>
      </w:r>
      <w:proofErr w:type="spellStart"/>
      <w:r>
        <w:rPr>
          <w:rFonts w:ascii="Times New Roman" w:eastAsia="Times New Roman" w:hAnsi="Times New Roman" w:cs="Times New Roman"/>
          <w:sz w:val="20"/>
          <w:szCs w:val="20"/>
        </w:rPr>
        <w:t>Huling</w:t>
      </w:r>
      <w:proofErr w:type="spellEnd"/>
      <w:r>
        <w:rPr>
          <w:rFonts w:ascii="Times New Roman" w:eastAsia="Times New Roman" w:hAnsi="Times New Roman" w:cs="Times New Roman"/>
          <w:sz w:val="20"/>
          <w:szCs w:val="20"/>
        </w:rPr>
        <w:t xml:space="preserve"> and Kenneth J. Wilkins equally contributed to the work </w:t>
      </w:r>
    </w:p>
    <w:p w14:paraId="0F85E0E1" w14:textId="77777777" w:rsidR="00777668" w:rsidRDefault="00000000">
      <w:pPr>
        <w:pStyle w:val="Heading1"/>
        <w:spacing w:line="360" w:lineRule="auto"/>
        <w:jc w:val="both"/>
      </w:pPr>
      <w:bookmarkStart w:id="0" w:name="_heading=h.3idi66pm1dng" w:colFirst="0" w:colLast="0"/>
      <w:bookmarkStart w:id="1" w:name="_heading=h.44usmrp9zjb7" w:colFirst="0" w:colLast="0"/>
      <w:bookmarkEnd w:id="0"/>
      <w:bookmarkEnd w:id="1"/>
      <w:r>
        <w:lastRenderedPageBreak/>
        <w:t>Supplementary files</w:t>
      </w:r>
    </w:p>
    <w:p w14:paraId="1E10C3E0" w14:textId="77777777" w:rsidR="00777668" w:rsidRDefault="00000000">
      <w:pPr>
        <w:pStyle w:val="Heading1"/>
        <w:spacing w:line="360" w:lineRule="auto"/>
        <w:jc w:val="both"/>
      </w:pPr>
      <w:bookmarkStart w:id="2" w:name="_heading=h.dx7mwhze3cec" w:colFirst="0" w:colLast="0"/>
      <w:bookmarkEnd w:id="2"/>
      <w:r>
        <w:t>S1.xlsx:</w:t>
      </w:r>
    </w:p>
    <w:p w14:paraId="04371B55" w14:textId="77777777" w:rsidR="00777668" w:rsidRDefault="00000000">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This Excel file contains all the results we obtained when using a number of imputation m = 42.</w:t>
      </w:r>
    </w:p>
    <w:p w14:paraId="51202CC6" w14:textId="77777777" w:rsidR="00777668" w:rsidRDefault="00000000">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The file is composed by:</w:t>
      </w:r>
    </w:p>
    <w:p w14:paraId="5A6277CD" w14:textId="77777777" w:rsidR="0077766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sheet “mean_measures_m42” containing the colored table (Figure 5) showing and detailing the average measures obtained by the tested imputation algorithms across the three outcomes.</w:t>
      </w:r>
    </w:p>
    <w:p w14:paraId="0E9AE571" w14:textId="77777777" w:rsidR="0077766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sheets “</w:t>
      </w:r>
      <w:proofErr w:type="spellStart"/>
      <w:r>
        <w:rPr>
          <w:rFonts w:ascii="Times New Roman" w:eastAsia="Times New Roman" w:hAnsi="Times New Roman" w:cs="Times New Roman"/>
          <w:sz w:val="22"/>
          <w:szCs w:val="22"/>
        </w:rPr>
        <w:t>RB_mean</w:t>
      </w:r>
      <w:proofErr w:type="spellEnd"/>
      <w:r>
        <w:rPr>
          <w:rFonts w:ascii="Times New Roman" w:eastAsia="Times New Roman" w:hAnsi="Times New Roman" w:cs="Times New Roman"/>
          <w:sz w:val="22"/>
          <w:szCs w:val="22"/>
        </w:rPr>
        <w:t xml:space="preserve">” (see also </w:t>
      </w:r>
      <w:hyperlink w:anchor="_heading=h.3whwml4">
        <w:r>
          <w:rPr>
            <w:rFonts w:ascii="Times New Roman" w:eastAsia="Times New Roman" w:hAnsi="Times New Roman" w:cs="Times New Roman"/>
            <w:sz w:val="22"/>
            <w:szCs w:val="22"/>
            <w:u w:val="single"/>
          </w:rPr>
          <w:t>Supplementary Figure S1</w:t>
        </w:r>
      </w:hyperlink>
      <w:r>
        <w:rPr>
          <w:rFonts w:ascii="Times New Roman" w:eastAsia="Times New Roman" w:hAnsi="Times New Roman" w:cs="Times New Roman"/>
          <w:sz w:val="22"/>
          <w:szCs w:val="22"/>
        </w:rPr>
        <w:t>), “</w:t>
      </w:r>
      <w:proofErr w:type="spellStart"/>
      <w:r>
        <w:rPr>
          <w:rFonts w:ascii="Times New Roman" w:eastAsia="Times New Roman" w:hAnsi="Times New Roman" w:cs="Times New Roman"/>
          <w:sz w:val="22"/>
          <w:szCs w:val="22"/>
        </w:rPr>
        <w:t>MSE_mean</w:t>
      </w:r>
      <w:proofErr w:type="spellEnd"/>
      <w:r>
        <w:rPr>
          <w:rFonts w:ascii="Times New Roman" w:eastAsia="Times New Roman" w:hAnsi="Times New Roman" w:cs="Times New Roman"/>
          <w:sz w:val="22"/>
          <w:szCs w:val="22"/>
        </w:rPr>
        <w:t xml:space="preserve">” (see also </w:t>
      </w:r>
      <w:hyperlink w:anchor="_heading=h.2bn6wsx">
        <w:r>
          <w:rPr>
            <w:rFonts w:ascii="Times New Roman" w:eastAsia="Times New Roman" w:hAnsi="Times New Roman" w:cs="Times New Roman"/>
            <w:sz w:val="22"/>
            <w:szCs w:val="22"/>
            <w:u w:val="single"/>
          </w:rPr>
          <w:t>Supplementary Figure S2</w:t>
        </w:r>
      </w:hyperlink>
      <w:r>
        <w:rPr>
          <w:rFonts w:ascii="Times New Roman" w:eastAsia="Times New Roman" w:hAnsi="Times New Roman" w:cs="Times New Roman"/>
          <w:sz w:val="22"/>
          <w:szCs w:val="22"/>
        </w:rPr>
        <w:t>), “</w:t>
      </w:r>
      <w:proofErr w:type="spellStart"/>
      <w:r>
        <w:rPr>
          <w:rFonts w:ascii="Times New Roman" w:eastAsia="Times New Roman" w:hAnsi="Times New Roman" w:cs="Times New Roman"/>
          <w:sz w:val="22"/>
          <w:szCs w:val="22"/>
        </w:rPr>
        <w:t>ER_mean</w:t>
      </w:r>
      <w:proofErr w:type="spellEnd"/>
      <w:r>
        <w:rPr>
          <w:rFonts w:ascii="Times New Roman" w:eastAsia="Times New Roman" w:hAnsi="Times New Roman" w:cs="Times New Roman"/>
          <w:sz w:val="22"/>
          <w:szCs w:val="22"/>
        </w:rPr>
        <w:t xml:space="preserve">” (see also </w:t>
      </w:r>
      <w:hyperlink w:anchor="_heading=h.26in1rg">
        <w:r>
          <w:rPr>
            <w:rFonts w:ascii="Times New Roman" w:eastAsia="Times New Roman" w:hAnsi="Times New Roman" w:cs="Times New Roman"/>
            <w:sz w:val="22"/>
            <w:szCs w:val="22"/>
            <w:u w:val="single"/>
          </w:rPr>
          <w:t>Supplementary Figure S3</w:t>
        </w:r>
      </w:hyperlink>
      <w:r>
        <w:rPr>
          <w:rFonts w:ascii="Times New Roman" w:eastAsia="Times New Roman" w:hAnsi="Times New Roman" w:cs="Times New Roman"/>
          <w:sz w:val="22"/>
          <w:szCs w:val="22"/>
        </w:rPr>
        <w:t>), and “</w:t>
      </w:r>
      <w:proofErr w:type="spellStart"/>
      <w:r>
        <w:rPr>
          <w:rFonts w:ascii="Times New Roman" w:eastAsia="Times New Roman" w:hAnsi="Times New Roman" w:cs="Times New Roman"/>
          <w:sz w:val="22"/>
          <w:szCs w:val="22"/>
        </w:rPr>
        <w:t>CR_mean</w:t>
      </w:r>
      <w:proofErr w:type="spellEnd"/>
      <w:r>
        <w:rPr>
          <w:rFonts w:ascii="Times New Roman" w:eastAsia="Times New Roman" w:hAnsi="Times New Roman" w:cs="Times New Roman"/>
          <w:sz w:val="22"/>
          <w:szCs w:val="22"/>
        </w:rPr>
        <w:t xml:space="preserve">” contain the four win-tie-loss tables (for the RB measure, the MSE measure, the ER measure, the CR measure) obtained by summing the wins, ties, losses obtained by each model over the three outcome variables. </w:t>
      </w:r>
    </w:p>
    <w:p w14:paraId="6760DE17" w14:textId="77777777" w:rsidR="00777668" w:rsidRDefault="00000000">
      <w:pPr>
        <w:spacing w:line="360" w:lineRule="auto"/>
        <w:ind w:left="7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On the right, each of the four sheets contains the mean of the win-tie-loss tables over the three outcomes, where the wins, ties, and losses are computed by comparing the models on the rows to the models on the column by a paired-sided paired rank sign test . </w:t>
      </w:r>
    </w:p>
    <w:p w14:paraId="0A35017C" w14:textId="77777777" w:rsidR="00777668" w:rsidRDefault="00000000">
      <w:pPr>
        <w:spacing w:line="360" w:lineRule="auto"/>
        <w:ind w:left="7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grid shows numbers in the range [-3, +3]; they are computed by representing each win by a +1 value, each tie as a 0 value, each loss as a -1 value. </w:t>
      </w:r>
    </w:p>
    <w:p w14:paraId="2E869F74" w14:textId="77777777" w:rsidR="00777668" w:rsidRDefault="00000000">
      <w:pPr>
        <w:pStyle w:val="Heading1"/>
        <w:spacing w:line="360" w:lineRule="auto"/>
        <w:jc w:val="both"/>
      </w:pPr>
      <w:bookmarkStart w:id="3" w:name="_heading=h.mku6b9kg8q1l" w:colFirst="0" w:colLast="0"/>
      <w:bookmarkEnd w:id="3"/>
      <w:r>
        <w:t>S2.xlsx:</w:t>
      </w:r>
    </w:p>
    <w:p w14:paraId="7DA001D3" w14:textId="77777777" w:rsidR="00777668" w:rsidRDefault="00000000">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This Excel file has the same structure of </w:t>
      </w:r>
      <w:hyperlink w:anchor="_heading=h.dx7mwhze3cec">
        <w:r>
          <w:rPr>
            <w:rFonts w:ascii="Times New Roman" w:eastAsia="Times New Roman" w:hAnsi="Times New Roman" w:cs="Times New Roman"/>
            <w:sz w:val="22"/>
            <w:szCs w:val="22"/>
            <w:u w:val="single"/>
          </w:rPr>
          <w:t>S1.xlsx</w:t>
        </w:r>
      </w:hyperlink>
      <w:r>
        <w:rPr>
          <w:rFonts w:ascii="Times New Roman" w:eastAsia="Times New Roman" w:hAnsi="Times New Roman" w:cs="Times New Roman"/>
          <w:sz w:val="22"/>
          <w:szCs w:val="22"/>
        </w:rPr>
        <w:t>; it details all the results we obtained when using a number of imputation m = 5.</w:t>
      </w:r>
    </w:p>
    <w:p w14:paraId="7E72EFF0" w14:textId="77777777" w:rsidR="00777668" w:rsidRDefault="00000000">
      <w:pPr>
        <w:pStyle w:val="Heading1"/>
        <w:spacing w:line="360" w:lineRule="auto"/>
        <w:jc w:val="both"/>
      </w:pPr>
      <w:bookmarkStart w:id="4" w:name="_heading=h.t3xa8xuv86pk" w:colFirst="0" w:colLast="0"/>
      <w:bookmarkEnd w:id="4"/>
      <w:r>
        <w:t>S3_MCAR.xlsx:</w:t>
      </w:r>
    </w:p>
    <w:p w14:paraId="1A6BC6CC" w14:textId="77777777" w:rsidR="00777668" w:rsidRDefault="00000000">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This Excel file has the same structure of </w:t>
      </w:r>
      <w:hyperlink w:anchor="_heading=h.dx7mwhze3cec">
        <w:r>
          <w:rPr>
            <w:rFonts w:ascii="Times New Roman" w:eastAsia="Times New Roman" w:hAnsi="Times New Roman" w:cs="Times New Roman"/>
            <w:sz w:val="22"/>
            <w:szCs w:val="22"/>
            <w:u w:val="single"/>
          </w:rPr>
          <w:t>S1.xlsx</w:t>
        </w:r>
      </w:hyperlink>
      <w:r>
        <w:rPr>
          <w:rFonts w:ascii="Times New Roman" w:eastAsia="Times New Roman" w:hAnsi="Times New Roman" w:cs="Times New Roman"/>
          <w:sz w:val="22"/>
          <w:szCs w:val="22"/>
        </w:rPr>
        <w:t xml:space="preserve"> and </w:t>
      </w:r>
      <w:hyperlink w:anchor="_heading=h.mku6b9kg8q1l">
        <w:r>
          <w:rPr>
            <w:rFonts w:ascii="Times New Roman" w:eastAsia="Times New Roman" w:hAnsi="Times New Roman" w:cs="Times New Roman"/>
            <w:sz w:val="22"/>
            <w:szCs w:val="22"/>
            <w:u w:val="single"/>
          </w:rPr>
          <w:t>S2.xslx</w:t>
        </w:r>
      </w:hyperlink>
      <w:r>
        <w:rPr>
          <w:rFonts w:ascii="Times New Roman" w:eastAsia="Times New Roman" w:hAnsi="Times New Roman" w:cs="Times New Roman"/>
          <w:sz w:val="22"/>
          <w:szCs w:val="22"/>
        </w:rPr>
        <w:t>; it details all the results we obtained when simulating MCAR missingness in the amputated datasets.</w:t>
      </w:r>
    </w:p>
    <w:p w14:paraId="33B63649" w14:textId="77777777" w:rsidR="00777668" w:rsidRDefault="00000000">
      <w:pPr>
        <w:pStyle w:val="Heading1"/>
        <w:spacing w:line="360" w:lineRule="auto"/>
        <w:jc w:val="both"/>
      </w:pPr>
      <w:bookmarkStart w:id="5" w:name="_heading=h.vzn8akl9sw44" w:colFirst="0" w:colLast="0"/>
      <w:bookmarkEnd w:id="5"/>
      <w:r>
        <w:t xml:space="preserve">S4_MNAR.xlsx: </w:t>
      </w:r>
    </w:p>
    <w:p w14:paraId="704D4E81" w14:textId="77777777" w:rsidR="00777668" w:rsidRDefault="00000000">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This Excel file has the same structure of </w:t>
      </w:r>
      <w:hyperlink w:anchor="_heading=h.dx7mwhze3cec">
        <w:r>
          <w:rPr>
            <w:rFonts w:ascii="Times New Roman" w:eastAsia="Times New Roman" w:hAnsi="Times New Roman" w:cs="Times New Roman"/>
            <w:sz w:val="22"/>
            <w:szCs w:val="22"/>
            <w:u w:val="single"/>
          </w:rPr>
          <w:t>S1.xlsx</w:t>
        </w:r>
      </w:hyperlink>
      <w:r>
        <w:rPr>
          <w:rFonts w:ascii="Times New Roman" w:eastAsia="Times New Roman" w:hAnsi="Times New Roman" w:cs="Times New Roman"/>
          <w:sz w:val="22"/>
          <w:szCs w:val="22"/>
        </w:rPr>
        <w:t xml:space="preserve"> and </w:t>
      </w:r>
      <w:hyperlink w:anchor="_heading=h.mku6b9kg8q1l">
        <w:r>
          <w:rPr>
            <w:rFonts w:ascii="Times New Roman" w:eastAsia="Times New Roman" w:hAnsi="Times New Roman" w:cs="Times New Roman"/>
            <w:sz w:val="22"/>
            <w:szCs w:val="22"/>
            <w:u w:val="single"/>
          </w:rPr>
          <w:t>S2.xslx</w:t>
        </w:r>
      </w:hyperlink>
      <w:r>
        <w:rPr>
          <w:rFonts w:ascii="Times New Roman" w:eastAsia="Times New Roman" w:hAnsi="Times New Roman" w:cs="Times New Roman"/>
          <w:sz w:val="22"/>
          <w:szCs w:val="22"/>
        </w:rPr>
        <w:t xml:space="preserve"> and S</w:t>
      </w:r>
      <w:hyperlink w:anchor="_heading=h.t3xa8xuv86pk">
        <w:r>
          <w:rPr>
            <w:rFonts w:ascii="Times New Roman" w:eastAsia="Times New Roman" w:hAnsi="Times New Roman" w:cs="Times New Roman"/>
            <w:sz w:val="22"/>
            <w:szCs w:val="22"/>
            <w:u w:val="single"/>
          </w:rPr>
          <w:t>3_MCAR.xlsx</w:t>
        </w:r>
      </w:hyperlink>
      <w:r>
        <w:rPr>
          <w:rFonts w:ascii="Times New Roman" w:eastAsia="Times New Roman" w:hAnsi="Times New Roman" w:cs="Times New Roman"/>
          <w:sz w:val="22"/>
          <w:szCs w:val="22"/>
        </w:rPr>
        <w:t>; it details all the results we obtained when simulating MNAR missingness in the amputated datasets.</w:t>
      </w:r>
      <w:r>
        <w:br w:type="page"/>
      </w:r>
    </w:p>
    <w:p w14:paraId="60C9AFB6" w14:textId="77777777" w:rsidR="00777668" w:rsidRDefault="00000000">
      <w:pPr>
        <w:pStyle w:val="Heading1"/>
        <w:spacing w:line="360" w:lineRule="auto"/>
        <w:jc w:val="both"/>
      </w:pPr>
      <w:bookmarkStart w:id="6" w:name="_heading=h.ked3viedf99s" w:colFirst="0" w:colLast="0"/>
      <w:bookmarkEnd w:id="6"/>
      <w:r>
        <w:lastRenderedPageBreak/>
        <w:t>Supplementary Figures:</w:t>
      </w:r>
    </w:p>
    <w:p w14:paraId="6336EF50" w14:textId="77777777" w:rsidR="00777668" w:rsidRDefault="00000000">
      <w:pPr>
        <w:keepNext/>
        <w:spacing w:line="360" w:lineRule="auto"/>
        <w:ind w:left="-850" w:right="-1245"/>
        <w:jc w:val="both"/>
        <w:rPr>
          <w:rFonts w:ascii="Times New Roman" w:eastAsia="Times New Roman" w:hAnsi="Times New Roman" w:cs="Times New Roman"/>
          <w:sz w:val="22"/>
          <w:szCs w:val="22"/>
        </w:rPr>
      </w:pPr>
      <w:r>
        <w:rPr>
          <w:rFonts w:ascii="Times New Roman" w:eastAsia="Times New Roman" w:hAnsi="Times New Roman" w:cs="Times New Roman"/>
          <w:noProof/>
          <w:sz w:val="22"/>
          <w:szCs w:val="22"/>
        </w:rPr>
        <w:drawing>
          <wp:inline distT="114300" distB="114300" distL="114300" distR="114300" wp14:anchorId="7501DC09" wp14:editId="63634732">
            <wp:extent cx="7605867" cy="5542110"/>
            <wp:effectExtent l="0" t="0" r="0" b="0"/>
            <wp:docPr id="13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
                    <a:srcRect/>
                    <a:stretch>
                      <a:fillRect/>
                    </a:stretch>
                  </pic:blipFill>
                  <pic:spPr>
                    <a:xfrm>
                      <a:off x="0" y="0"/>
                      <a:ext cx="7605867" cy="5542110"/>
                    </a:xfrm>
                    <a:prstGeom prst="rect">
                      <a:avLst/>
                    </a:prstGeom>
                    <a:ln/>
                  </pic:spPr>
                </pic:pic>
              </a:graphicData>
            </a:graphic>
          </wp:inline>
        </w:drawing>
      </w:r>
    </w:p>
    <w:p w14:paraId="4D87B165" w14:textId="3328F79D" w:rsidR="00777668" w:rsidRDefault="00592099">
      <w:pPr>
        <w:pStyle w:val="Heading2"/>
        <w:spacing w:after="200" w:line="360" w:lineRule="auto"/>
        <w:ind w:left="-720" w:right="-1082"/>
        <w:jc w:val="both"/>
      </w:pPr>
      <w:bookmarkStart w:id="7" w:name="_heading=h.3whwml4" w:colFirst="0" w:colLast="0"/>
      <w:bookmarkEnd w:id="7"/>
      <w:r w:rsidRPr="00592099">
        <w:rPr>
          <w:b w:val="0"/>
          <w:bCs/>
          <w:i w:val="0"/>
          <w:iCs w:val="0"/>
          <w:sz w:val="20"/>
          <w:szCs w:val="20"/>
        </w:rPr>
        <w:t>Figure S1: Column “average absolute value of RB across predictors and outcomes” reports the average RB measure across the hospitalization, invasive ventilation, and patients’ survival outcomes (the table is also made available in Supplementary file S1 – sheet “</w:t>
      </w:r>
      <w:proofErr w:type="spellStart"/>
      <w:r w:rsidRPr="00592099">
        <w:rPr>
          <w:b w:val="0"/>
          <w:bCs/>
          <w:i w:val="0"/>
          <w:iCs w:val="0"/>
          <w:sz w:val="20"/>
          <w:szCs w:val="20"/>
        </w:rPr>
        <w:t>RB_mean</w:t>
      </w:r>
      <w:proofErr w:type="spellEnd"/>
      <w:r w:rsidRPr="00592099">
        <w:rPr>
          <w:b w:val="0"/>
          <w:bCs/>
          <w:i w:val="0"/>
          <w:iCs w:val="0"/>
          <w:sz w:val="20"/>
          <w:szCs w:val="20"/>
        </w:rPr>
        <w:t xml:space="preserve">”). Columns “wins”, “ties”, “losses” report the sum of, respectively,  wins, ties, and losses computed by comparing the (absolute value of the) RB measures over the three outcomes (the corresponding win-tie-loss grid is shown  in the Supplementary material). The comparison between two models over an outcome variable is performed with a sided Wilcoxon signed-rank test comparing the distribution of the (absolute) RB values for all the predictor variables. The winner is the model achieving the lowest RB distribution. All the models but </w:t>
      </w:r>
      <w:proofErr w:type="spellStart"/>
      <w:r w:rsidRPr="00592099">
        <w:rPr>
          <w:b w:val="0"/>
          <w:bCs/>
          <w:i w:val="0"/>
          <w:iCs w:val="0"/>
          <w:sz w:val="20"/>
          <w:szCs w:val="20"/>
        </w:rPr>
        <w:t>missRanger</w:t>
      </w:r>
      <w:proofErr w:type="spellEnd"/>
      <w:r w:rsidRPr="00592099">
        <w:rPr>
          <w:b w:val="0"/>
          <w:bCs/>
          <w:i w:val="0"/>
          <w:iCs w:val="0"/>
          <w:sz w:val="20"/>
          <w:szCs w:val="20"/>
        </w:rPr>
        <w:t xml:space="preserve"> with no </w:t>
      </w:r>
      <w:proofErr w:type="spellStart"/>
      <w:r w:rsidRPr="00592099">
        <w:rPr>
          <w:b w:val="0"/>
          <w:bCs/>
          <w:i w:val="0"/>
          <w:iCs w:val="0"/>
          <w:sz w:val="20"/>
          <w:szCs w:val="20"/>
        </w:rPr>
        <w:t>pmm</w:t>
      </w:r>
      <w:proofErr w:type="spellEnd"/>
      <w:r w:rsidRPr="00592099">
        <w:rPr>
          <w:b w:val="0"/>
          <w:bCs/>
          <w:i w:val="0"/>
          <w:iCs w:val="0"/>
          <w:sz w:val="20"/>
          <w:szCs w:val="20"/>
        </w:rPr>
        <w:t xml:space="preserve"> and using the outcome variables in the imputation model are obtaining RB ≤ 0, meaning that the computed estimates are systematically lower than those computed on the complete dataset. </w:t>
      </w:r>
      <w:proofErr w:type="spellStart"/>
      <w:r w:rsidRPr="00592099">
        <w:rPr>
          <w:b w:val="0"/>
          <w:bCs/>
          <w:i w:val="0"/>
          <w:iCs w:val="0"/>
          <w:sz w:val="20"/>
          <w:szCs w:val="20"/>
        </w:rPr>
        <w:t>missRanger</w:t>
      </w:r>
      <w:proofErr w:type="spellEnd"/>
      <w:r w:rsidRPr="00592099">
        <w:rPr>
          <w:b w:val="0"/>
          <w:bCs/>
          <w:i w:val="0"/>
          <w:iCs w:val="0"/>
          <w:sz w:val="20"/>
          <w:szCs w:val="20"/>
        </w:rPr>
        <w:t xml:space="preserve"> with outcome variable in the imputation model and no </w:t>
      </w:r>
      <w:proofErr w:type="spellStart"/>
      <w:r w:rsidRPr="00592099">
        <w:rPr>
          <w:b w:val="0"/>
          <w:bCs/>
          <w:i w:val="0"/>
          <w:iCs w:val="0"/>
          <w:sz w:val="20"/>
          <w:szCs w:val="20"/>
        </w:rPr>
        <w:t>pmm</w:t>
      </w:r>
      <w:proofErr w:type="spellEnd"/>
      <w:r w:rsidRPr="00592099">
        <w:rPr>
          <w:b w:val="0"/>
          <w:bCs/>
          <w:i w:val="0"/>
          <w:iCs w:val="0"/>
          <w:sz w:val="20"/>
          <w:szCs w:val="20"/>
        </w:rPr>
        <w:t xml:space="preserve"> is instead bringing to the computation of inflated estimates</w:t>
      </w:r>
      <w:r w:rsidRPr="00592099">
        <w:t>.</w:t>
      </w:r>
    </w:p>
    <w:p w14:paraId="61DD8606" w14:textId="0A6B766A" w:rsidR="00DF380C" w:rsidRDefault="00DF380C" w:rsidP="00DF380C">
      <w:pPr>
        <w:pStyle w:val="Heading2"/>
        <w:spacing w:after="200" w:line="360" w:lineRule="auto"/>
        <w:ind w:left="-566" w:right="-1245"/>
        <w:jc w:val="both"/>
        <w:rPr>
          <w:b w:val="0"/>
          <w:bCs/>
          <w:i w:val="0"/>
          <w:iCs w:val="0"/>
          <w:sz w:val="20"/>
          <w:szCs w:val="20"/>
        </w:rPr>
      </w:pPr>
      <w:bookmarkStart w:id="8" w:name="_heading=h.saodg7q54boi" w:colFirst="0" w:colLast="0"/>
      <w:bookmarkEnd w:id="8"/>
      <w:r>
        <w:rPr>
          <w:rFonts w:eastAsia="Times New Roman"/>
          <w:i w:val="0"/>
          <w:noProof/>
          <w:sz w:val="22"/>
          <w:szCs w:val="22"/>
        </w:rPr>
        <w:lastRenderedPageBreak/>
        <w:drawing>
          <wp:anchor distT="0" distB="0" distL="114300" distR="114300" simplePos="0" relativeHeight="251665408" behindDoc="0" locked="0" layoutInCell="1" allowOverlap="1" wp14:anchorId="57AA7901" wp14:editId="30B6748F">
            <wp:simplePos x="0" y="0"/>
            <wp:positionH relativeFrom="column">
              <wp:posOffset>-401320</wp:posOffset>
            </wp:positionH>
            <wp:positionV relativeFrom="paragraph">
              <wp:posOffset>304165</wp:posOffset>
            </wp:positionV>
            <wp:extent cx="7537768" cy="5474678"/>
            <wp:effectExtent l="0" t="0" r="6350" b="0"/>
            <wp:wrapTopAndBottom/>
            <wp:docPr id="133" name="image4.png" descr="A picture containing calendar&#10;&#10;Description automatically generated"/>
            <wp:cNvGraphicFramePr/>
            <a:graphic xmlns:a="http://schemas.openxmlformats.org/drawingml/2006/main">
              <a:graphicData uri="http://schemas.openxmlformats.org/drawingml/2006/picture">
                <pic:pic xmlns:pic="http://schemas.openxmlformats.org/drawingml/2006/picture">
                  <pic:nvPicPr>
                    <pic:cNvPr id="133" name="image4.png" descr="A picture containing calendar&#10;&#10;Description automatically generated"/>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7537768" cy="5474678"/>
                    </a:xfrm>
                    <a:prstGeom prst="rect">
                      <a:avLst/>
                    </a:prstGeom>
                    <a:ln/>
                  </pic:spPr>
                </pic:pic>
              </a:graphicData>
            </a:graphic>
          </wp:anchor>
        </w:drawing>
      </w:r>
    </w:p>
    <w:p w14:paraId="450AE74F" w14:textId="57DD5A49" w:rsidR="00DF380C" w:rsidRPr="00DF380C" w:rsidRDefault="00DF380C" w:rsidP="00DF380C">
      <w:pPr>
        <w:pStyle w:val="Heading2"/>
        <w:spacing w:after="200" w:line="360" w:lineRule="auto"/>
        <w:ind w:left="-566" w:right="-1245"/>
        <w:jc w:val="both"/>
        <w:rPr>
          <w:b w:val="0"/>
          <w:bCs/>
          <w:i w:val="0"/>
          <w:iCs w:val="0"/>
          <w:sz w:val="20"/>
          <w:szCs w:val="20"/>
        </w:rPr>
      </w:pPr>
      <w:r w:rsidRPr="00592099">
        <w:rPr>
          <w:b w:val="0"/>
          <w:bCs/>
          <w:i w:val="0"/>
          <w:iCs w:val="0"/>
          <w:sz w:val="20"/>
          <w:szCs w:val="20"/>
        </w:rPr>
        <w:t>Figure S2: Column “average MSE across predictors and outcomes” reports the average MSE measure across the hospitalization, invasive ventilation, and patients’ survival outcomes (the table is also made available in Supplementary file S1 – sheet “</w:t>
      </w:r>
      <w:proofErr w:type="spellStart"/>
      <w:r w:rsidRPr="00592099">
        <w:rPr>
          <w:b w:val="0"/>
          <w:bCs/>
          <w:i w:val="0"/>
          <w:iCs w:val="0"/>
          <w:sz w:val="20"/>
          <w:szCs w:val="20"/>
        </w:rPr>
        <w:t>MSE_mean</w:t>
      </w:r>
      <w:proofErr w:type="spellEnd"/>
      <w:r w:rsidRPr="00592099">
        <w:rPr>
          <w:b w:val="0"/>
          <w:bCs/>
          <w:i w:val="0"/>
          <w:iCs w:val="0"/>
          <w:sz w:val="20"/>
          <w:szCs w:val="20"/>
        </w:rPr>
        <w:t>”). Columns “wins”, “ties”, “losses” report the sum of, respectively, wins, ties, and losses computed by comparing the MSE measures over the three outcomes (the corresponding win-tie-loss grid is shown  in the Supplementary material). The comparison between two models over an outcome variable is performed with a sided Wilcoxon signed-rank test comparing the distribution of the MSE values for all the predictor variables. The winner is the model achieving the lowest MSE distribution. The detailed win-tie-loss grids are reported in the Supplementary material.</w:t>
      </w:r>
    </w:p>
    <w:p w14:paraId="69AD47A8" w14:textId="3D9D5547" w:rsidR="00777668" w:rsidRDefault="00777668">
      <w:pPr>
        <w:spacing w:after="200" w:line="360" w:lineRule="auto"/>
        <w:ind w:left="-720" w:right="-1103"/>
        <w:jc w:val="both"/>
        <w:rPr>
          <w:rFonts w:ascii="Times New Roman" w:eastAsia="Times New Roman" w:hAnsi="Times New Roman" w:cs="Times New Roman"/>
          <w:i/>
          <w:sz w:val="22"/>
          <w:szCs w:val="22"/>
        </w:rPr>
      </w:pPr>
    </w:p>
    <w:p w14:paraId="7DC45963" w14:textId="77777777" w:rsidR="00777668" w:rsidRPr="00592099" w:rsidRDefault="00000000">
      <w:pPr>
        <w:spacing w:line="360" w:lineRule="auto"/>
        <w:ind w:left="-720" w:right="-1245"/>
        <w:jc w:val="both"/>
        <w:rPr>
          <w:rFonts w:ascii="Times New Roman" w:eastAsia="Times New Roman" w:hAnsi="Times New Roman" w:cs="Times New Roman"/>
          <w:bCs/>
          <w:sz w:val="20"/>
          <w:szCs w:val="20"/>
        </w:rPr>
      </w:pPr>
      <w:bookmarkStart w:id="9" w:name="_heading=h.2bn6wsx" w:colFirst="0" w:colLast="0"/>
      <w:bookmarkEnd w:id="9"/>
      <w:r w:rsidRPr="00592099">
        <w:rPr>
          <w:rFonts w:ascii="Times New Roman" w:eastAsia="Times New Roman" w:hAnsi="Times New Roman" w:cs="Times New Roman"/>
          <w:bCs/>
          <w:noProof/>
          <w:sz w:val="20"/>
          <w:szCs w:val="20"/>
        </w:rPr>
        <w:lastRenderedPageBreak/>
        <w:drawing>
          <wp:inline distT="114300" distB="114300" distL="114300" distR="114300" wp14:anchorId="6C87278E" wp14:editId="18056F1F">
            <wp:extent cx="7537768" cy="5474678"/>
            <wp:effectExtent l="0" t="0" r="0" b="0"/>
            <wp:docPr id="13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7537768" cy="5474678"/>
                    </a:xfrm>
                    <a:prstGeom prst="rect">
                      <a:avLst/>
                    </a:prstGeom>
                    <a:ln/>
                  </pic:spPr>
                </pic:pic>
              </a:graphicData>
            </a:graphic>
          </wp:inline>
        </w:drawing>
      </w:r>
    </w:p>
    <w:p w14:paraId="70A6162F" w14:textId="7673C2FD" w:rsidR="00777668" w:rsidRPr="00592099" w:rsidRDefault="00000000">
      <w:pPr>
        <w:pStyle w:val="Heading2"/>
        <w:spacing w:after="200" w:line="360" w:lineRule="auto"/>
        <w:ind w:left="-708" w:right="-1245"/>
        <w:jc w:val="both"/>
        <w:rPr>
          <w:rFonts w:eastAsia="Times New Roman"/>
          <w:b w:val="0"/>
          <w:bCs/>
          <w:i w:val="0"/>
          <w:iCs w:val="0"/>
          <w:sz w:val="20"/>
          <w:szCs w:val="20"/>
        </w:rPr>
      </w:pPr>
      <w:bookmarkStart w:id="10" w:name="_heading=h.26in1rg" w:colFirst="0" w:colLast="0"/>
      <w:bookmarkEnd w:id="10"/>
      <w:r w:rsidRPr="00592099">
        <w:rPr>
          <w:rFonts w:eastAsia="Times New Roman"/>
          <w:b w:val="0"/>
          <w:bCs/>
          <w:i w:val="0"/>
          <w:iCs w:val="0"/>
          <w:sz w:val="20"/>
          <w:szCs w:val="20"/>
        </w:rPr>
        <w:t>Figure S3: In column “average ER across outcomes” we report the average ER measure across the hospitalization, invasive ventilation, and patients’ survival outcomes (the table is also made available in Supplementary file S1 – sheet “</w:t>
      </w:r>
      <w:proofErr w:type="spellStart"/>
      <w:r w:rsidRPr="00592099">
        <w:rPr>
          <w:rFonts w:eastAsia="Times New Roman"/>
          <w:b w:val="0"/>
          <w:bCs/>
          <w:i w:val="0"/>
          <w:iCs w:val="0"/>
          <w:sz w:val="20"/>
          <w:szCs w:val="20"/>
        </w:rPr>
        <w:t>ER_mean</w:t>
      </w:r>
      <w:proofErr w:type="spellEnd"/>
      <w:r w:rsidRPr="00592099">
        <w:rPr>
          <w:rFonts w:eastAsia="Times New Roman"/>
          <w:b w:val="0"/>
          <w:bCs/>
          <w:i w:val="0"/>
          <w:iCs w:val="0"/>
          <w:sz w:val="20"/>
          <w:szCs w:val="20"/>
        </w:rPr>
        <w:t xml:space="preserve">”). Columns “wins”, “ties”, “losses” report the sum of, respectively,  wins, ties, and losses computed by comparing the distributions of the ER measures over the three outcomes. Since we would like each </w:t>
      </w:r>
      <m:oMath>
        <m:d>
          <m:dPr>
            <m:begChr m:val="["/>
            <m:endChr m:val="]"/>
            <m:ctrlPr>
              <w:rPr>
                <w:rFonts w:ascii="Cambria Math" w:hAnsi="Cambria Math"/>
                <w:b w:val="0"/>
                <w:bCs/>
                <w:i w:val="0"/>
                <w:iCs w:val="0"/>
                <w:sz w:val="20"/>
                <w:szCs w:val="20"/>
              </w:rPr>
            </m:ctrlPr>
          </m:dPr>
          <m:e>
            <m:sSub>
              <m:sSubPr>
                <m:ctrlPr>
                  <w:rPr>
                    <w:rFonts w:ascii="Cambria Math" w:eastAsia="Cambria Math" w:hAnsi="Cambria Math"/>
                    <w:b w:val="0"/>
                    <w:bCs/>
                    <w:i w:val="0"/>
                    <w:iCs w:val="0"/>
                    <w:sz w:val="20"/>
                    <w:szCs w:val="20"/>
                  </w:rPr>
                </m:ctrlPr>
              </m:sSubPr>
              <m:e>
                <m:r>
                  <m:rPr>
                    <m:sty m:val="p"/>
                  </m:rPr>
                  <w:rPr>
                    <w:rFonts w:ascii="Cambria Math" w:eastAsia="Cambria Math" w:hAnsi="Cambria Math"/>
                    <w:sz w:val="20"/>
                    <w:szCs w:val="20"/>
                  </w:rPr>
                  <m:t>ER</m:t>
                </m:r>
              </m:e>
              <m:sub>
                <m:r>
                  <m:rPr>
                    <m:sty m:val="p"/>
                  </m:rPr>
                  <w:rPr>
                    <w:rFonts w:ascii="Cambria Math" w:eastAsia="Cambria Math" w:hAnsi="Cambria Math"/>
                    <w:sz w:val="20"/>
                    <w:szCs w:val="20"/>
                  </w:rPr>
                  <m:t>i</m:t>
                </m:r>
              </m:sub>
            </m:sSub>
          </m:e>
        </m:d>
        <m:r>
          <m:rPr>
            <m:sty m:val="p"/>
          </m:rPr>
          <w:rPr>
            <w:rFonts w:ascii="Cambria Math" w:eastAsia="Cambria Math" w:hAnsi="Cambria Math"/>
            <w:sz w:val="20"/>
            <w:szCs w:val="20"/>
          </w:rPr>
          <m:t xml:space="preserve"> (i ∈ </m:t>
        </m:r>
        <m:d>
          <m:dPr>
            <m:begChr m:val="{"/>
            <m:endChr m:val="}"/>
            <m:ctrlPr>
              <w:rPr>
                <w:rFonts w:ascii="Cambria Math" w:eastAsia="Cambria Math" w:hAnsi="Cambria Math"/>
                <w:b w:val="0"/>
                <w:bCs/>
                <w:i w:val="0"/>
                <w:iCs w:val="0"/>
                <w:sz w:val="20"/>
                <w:szCs w:val="20"/>
              </w:rPr>
            </m:ctrlPr>
          </m:dPr>
          <m:e>
            <m:r>
              <m:rPr>
                <m:sty m:val="p"/>
              </m:rPr>
              <w:rPr>
                <w:rFonts w:ascii="Cambria Math" w:eastAsia="Cambria Math" w:hAnsi="Cambria Math"/>
                <w:sz w:val="20"/>
                <w:szCs w:val="20"/>
              </w:rPr>
              <m:t>1,…,d</m:t>
            </m:r>
          </m:e>
        </m:d>
        <m:r>
          <m:rPr>
            <m:sty m:val="p"/>
          </m:rPr>
          <w:rPr>
            <w:rFonts w:ascii="Cambria Math" w:eastAsia="Cambria Math" w:hAnsi="Cambria Math"/>
            <w:sz w:val="20"/>
            <w:szCs w:val="20"/>
          </w:rPr>
          <m:t>)</m:t>
        </m:r>
      </m:oMath>
      <w:r w:rsidRPr="00592099">
        <w:rPr>
          <w:rFonts w:eastAsia="Times New Roman"/>
          <w:b w:val="0"/>
          <w:bCs/>
          <w:i w:val="0"/>
          <w:iCs w:val="0"/>
          <w:sz w:val="20"/>
          <w:szCs w:val="20"/>
        </w:rPr>
        <w:t xml:space="preserve"> estimate to be as nearest as possible to 1, for the comparison between two models over an outcome variable we used a sided Wilcoxon signed-rank test to compare the following distribution for each model </w:t>
      </w:r>
      <m:oMath>
        <m:r>
          <m:rPr>
            <m:sty m:val="p"/>
          </m:rPr>
          <w:rPr>
            <w:rFonts w:ascii="Cambria Math" w:eastAsia="Cambria Math" w:hAnsi="Cambria Math"/>
            <w:sz w:val="20"/>
            <w:szCs w:val="20"/>
          </w:rPr>
          <m:t>f</m:t>
        </m:r>
        <m:d>
          <m:dPr>
            <m:ctrlPr>
              <w:rPr>
                <w:rFonts w:ascii="Cambria Math" w:eastAsia="Cambria Math" w:hAnsi="Cambria Math"/>
                <w:b w:val="0"/>
                <w:bCs/>
                <w:i w:val="0"/>
                <w:iCs w:val="0"/>
                <w:sz w:val="20"/>
                <w:szCs w:val="20"/>
              </w:rPr>
            </m:ctrlPr>
          </m:dPr>
          <m:e>
            <m:sSub>
              <m:sSubPr>
                <m:ctrlPr>
                  <w:rPr>
                    <w:rFonts w:ascii="Cambria Math" w:eastAsia="Cambria Math" w:hAnsi="Cambria Math"/>
                    <w:b w:val="0"/>
                    <w:bCs/>
                    <w:i w:val="0"/>
                    <w:iCs w:val="0"/>
                    <w:sz w:val="20"/>
                    <w:szCs w:val="20"/>
                  </w:rPr>
                </m:ctrlPr>
              </m:sSubPr>
              <m:e>
                <m:r>
                  <m:rPr>
                    <m:sty m:val="p"/>
                  </m:rPr>
                  <w:rPr>
                    <w:rFonts w:ascii="Cambria Math" w:eastAsia="Cambria Math" w:hAnsi="Cambria Math"/>
                    <w:sz w:val="20"/>
                    <w:szCs w:val="20"/>
                  </w:rPr>
                  <m:t>ER</m:t>
                </m:r>
              </m:e>
              <m:sub>
                <m:r>
                  <m:rPr>
                    <m:sty m:val="p"/>
                  </m:rPr>
                  <w:rPr>
                    <w:rFonts w:ascii="Cambria Math" w:eastAsia="Cambria Math" w:hAnsi="Cambria Math"/>
                    <w:sz w:val="20"/>
                    <w:szCs w:val="20"/>
                  </w:rPr>
                  <m:t>i</m:t>
                </m:r>
              </m:sub>
            </m:sSub>
          </m:e>
        </m:d>
        <m:r>
          <m:rPr>
            <m:sty m:val="p"/>
          </m:rPr>
          <w:rPr>
            <w:rFonts w:ascii="Cambria Math" w:eastAsia="Cambria Math" w:hAnsi="Cambria Math"/>
            <w:sz w:val="20"/>
            <w:szCs w:val="20"/>
          </w:rPr>
          <m:t>= ‖1-</m:t>
        </m:r>
        <m:sSub>
          <m:sSubPr>
            <m:ctrlPr>
              <w:rPr>
                <w:rFonts w:ascii="Cambria Math" w:eastAsia="Cambria Math" w:hAnsi="Cambria Math"/>
                <w:b w:val="0"/>
                <w:bCs/>
                <w:i w:val="0"/>
                <w:iCs w:val="0"/>
                <w:sz w:val="20"/>
                <w:szCs w:val="20"/>
              </w:rPr>
            </m:ctrlPr>
          </m:sSubPr>
          <m:e>
            <m:r>
              <m:rPr>
                <m:sty m:val="p"/>
              </m:rPr>
              <w:rPr>
                <w:rFonts w:ascii="Cambria Math" w:eastAsia="Cambria Math" w:hAnsi="Cambria Math"/>
                <w:sz w:val="20"/>
                <w:szCs w:val="20"/>
              </w:rPr>
              <m:t>ER</m:t>
            </m:r>
          </m:e>
          <m:sub>
            <m:r>
              <m:rPr>
                <m:sty m:val="p"/>
              </m:rPr>
              <w:rPr>
                <w:rFonts w:ascii="Cambria Math" w:eastAsia="Cambria Math" w:hAnsi="Cambria Math"/>
                <w:sz w:val="20"/>
                <w:szCs w:val="20"/>
              </w:rPr>
              <m:t>i</m:t>
            </m:r>
          </m:sub>
        </m:sSub>
        <m:r>
          <m:rPr>
            <m:sty m:val="p"/>
          </m:rPr>
          <w:rPr>
            <w:rFonts w:ascii="Cambria Math" w:eastAsia="Cambria Math" w:hAnsi="Cambria Math"/>
            <w:sz w:val="20"/>
            <w:szCs w:val="20"/>
          </w:rPr>
          <m:t>‖</m:t>
        </m:r>
      </m:oMath>
      <w:r w:rsidRPr="00592099">
        <w:rPr>
          <w:rFonts w:eastAsia="Times New Roman"/>
          <w:b w:val="0"/>
          <w:bCs/>
          <w:i w:val="0"/>
          <w:iCs w:val="0"/>
          <w:sz w:val="20"/>
          <w:szCs w:val="20"/>
        </w:rPr>
        <w:t xml:space="preserve">. The detailed win tie loss grids are reported in the supplementary material. </w:t>
      </w:r>
    </w:p>
    <w:p w14:paraId="2EAE0695" w14:textId="77777777" w:rsidR="00777668" w:rsidRPr="00592099" w:rsidRDefault="00777668">
      <w:pPr>
        <w:spacing w:after="200" w:line="360" w:lineRule="auto"/>
        <w:ind w:left="-708" w:right="-1245"/>
        <w:jc w:val="both"/>
        <w:rPr>
          <w:rFonts w:ascii="Times New Roman" w:eastAsia="Times New Roman" w:hAnsi="Times New Roman" w:cs="Times New Roman"/>
          <w:bCs/>
          <w:sz w:val="20"/>
          <w:szCs w:val="20"/>
        </w:rPr>
      </w:pPr>
    </w:p>
    <w:p w14:paraId="653F3F32" w14:textId="77777777" w:rsidR="00777668" w:rsidRPr="00592099" w:rsidRDefault="00777668">
      <w:pPr>
        <w:pBdr>
          <w:top w:val="nil"/>
          <w:left w:val="nil"/>
          <w:bottom w:val="nil"/>
          <w:right w:val="nil"/>
          <w:between w:val="nil"/>
        </w:pBdr>
        <w:spacing w:after="200" w:line="360" w:lineRule="auto"/>
        <w:ind w:left="-990" w:right="-532"/>
        <w:jc w:val="both"/>
        <w:rPr>
          <w:rFonts w:ascii="Times New Roman" w:eastAsia="Times New Roman" w:hAnsi="Times New Roman" w:cs="Times New Roman"/>
          <w:bCs/>
          <w:sz w:val="20"/>
          <w:szCs w:val="20"/>
        </w:rPr>
      </w:pPr>
    </w:p>
    <w:p w14:paraId="46683C6D" w14:textId="77777777" w:rsidR="00777668" w:rsidRPr="00592099" w:rsidRDefault="00000000">
      <w:pPr>
        <w:pBdr>
          <w:top w:val="nil"/>
          <w:left w:val="nil"/>
          <w:bottom w:val="nil"/>
          <w:right w:val="nil"/>
          <w:between w:val="nil"/>
        </w:pBdr>
        <w:spacing w:after="200" w:line="360" w:lineRule="auto"/>
        <w:ind w:left="-990" w:right="-532"/>
        <w:jc w:val="both"/>
        <w:rPr>
          <w:rFonts w:ascii="Times New Roman" w:eastAsia="Times New Roman" w:hAnsi="Times New Roman" w:cs="Times New Roman"/>
          <w:bCs/>
          <w:sz w:val="20"/>
          <w:szCs w:val="20"/>
        </w:rPr>
      </w:pPr>
      <w:r w:rsidRPr="00592099">
        <w:rPr>
          <w:rFonts w:ascii="Times New Roman" w:eastAsia="Times New Roman" w:hAnsi="Times New Roman" w:cs="Times New Roman"/>
          <w:bCs/>
          <w:noProof/>
          <w:sz w:val="20"/>
          <w:szCs w:val="20"/>
        </w:rPr>
        <w:lastRenderedPageBreak/>
        <w:drawing>
          <wp:inline distT="0" distB="0" distL="0" distR="0" wp14:anchorId="2384A78B" wp14:editId="331C4A93">
            <wp:extent cx="7610970" cy="6354221"/>
            <wp:effectExtent l="0" t="0" r="0" b="0"/>
            <wp:docPr id="132" name="image11.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Table&#10;&#10;Description automatically generated"/>
                    <pic:cNvPicPr preferRelativeResize="0"/>
                  </pic:nvPicPr>
                  <pic:blipFill>
                    <a:blip r:embed="rId11"/>
                    <a:srcRect/>
                    <a:stretch>
                      <a:fillRect/>
                    </a:stretch>
                  </pic:blipFill>
                  <pic:spPr>
                    <a:xfrm>
                      <a:off x="0" y="0"/>
                      <a:ext cx="7610970" cy="6354221"/>
                    </a:xfrm>
                    <a:prstGeom prst="rect">
                      <a:avLst/>
                    </a:prstGeom>
                    <a:ln/>
                  </pic:spPr>
                </pic:pic>
              </a:graphicData>
            </a:graphic>
          </wp:inline>
        </w:drawing>
      </w:r>
    </w:p>
    <w:p w14:paraId="27E30494" w14:textId="77777777" w:rsidR="00777668" w:rsidRPr="00592099" w:rsidRDefault="00000000">
      <w:pPr>
        <w:pStyle w:val="Heading2"/>
        <w:spacing w:after="200" w:line="360" w:lineRule="auto"/>
        <w:ind w:left="-708" w:right="-1172"/>
        <w:jc w:val="both"/>
        <w:rPr>
          <w:b w:val="0"/>
          <w:bCs/>
          <w:i w:val="0"/>
          <w:iCs w:val="0"/>
          <w:sz w:val="20"/>
          <w:szCs w:val="20"/>
        </w:rPr>
      </w:pPr>
      <w:bookmarkStart w:id="11" w:name="_heading=h.qsh70q" w:colFirst="0" w:colLast="0"/>
      <w:bookmarkEnd w:id="11"/>
      <w:r w:rsidRPr="00592099">
        <w:rPr>
          <w:b w:val="0"/>
          <w:bCs/>
          <w:i w:val="0"/>
          <w:iCs w:val="0"/>
          <w:color w:val="FF0000"/>
          <w:sz w:val="20"/>
          <w:szCs w:val="20"/>
        </w:rPr>
        <w:t xml:space="preserve">Figure S4: </w:t>
      </w:r>
      <w:r w:rsidRPr="00592099">
        <w:rPr>
          <w:b w:val="0"/>
          <w:bCs/>
          <w:i w:val="0"/>
          <w:iCs w:val="0"/>
          <w:sz w:val="20"/>
          <w:szCs w:val="20"/>
        </w:rPr>
        <w:t xml:space="preserve">Hospitalization event: estimates obtained on the complete dataset obtained by listwise deletion (top-left) and on the full dataset by the MI estimation pipelines that use the best </w:t>
      </w:r>
      <w:proofErr w:type="spellStart"/>
      <w:r w:rsidRPr="00592099">
        <w:rPr>
          <w:b w:val="0"/>
          <w:bCs/>
          <w:i w:val="0"/>
          <w:iCs w:val="0"/>
          <w:sz w:val="20"/>
          <w:szCs w:val="20"/>
        </w:rPr>
        <w:t>missRanger</w:t>
      </w:r>
      <w:proofErr w:type="spellEnd"/>
      <w:r w:rsidRPr="00592099">
        <w:rPr>
          <w:b w:val="0"/>
          <w:bCs/>
          <w:i w:val="0"/>
          <w:iCs w:val="0"/>
          <w:sz w:val="20"/>
          <w:szCs w:val="20"/>
        </w:rPr>
        <w:t xml:space="preserve"> (top-right), Amelia (bottom-left), and Mice (bottom-right) models. For </w:t>
      </w:r>
      <w:proofErr w:type="spellStart"/>
      <w:r w:rsidRPr="00592099">
        <w:rPr>
          <w:b w:val="0"/>
          <w:bCs/>
          <w:i w:val="0"/>
          <w:iCs w:val="0"/>
          <w:sz w:val="20"/>
          <w:szCs w:val="20"/>
        </w:rPr>
        <w:t>missRanger</w:t>
      </w:r>
      <w:proofErr w:type="spellEnd"/>
      <w:r w:rsidRPr="00592099">
        <w:rPr>
          <w:b w:val="0"/>
          <w:bCs/>
          <w:i w:val="0"/>
          <w:iCs w:val="0"/>
          <w:sz w:val="20"/>
          <w:szCs w:val="20"/>
        </w:rPr>
        <w:t xml:space="preserve"> we used no </w:t>
      </w:r>
      <w:proofErr w:type="spellStart"/>
      <w:r w:rsidRPr="00592099">
        <w:rPr>
          <w:b w:val="0"/>
          <w:bCs/>
          <w:i w:val="0"/>
          <w:iCs w:val="0"/>
          <w:sz w:val="20"/>
          <w:szCs w:val="20"/>
        </w:rPr>
        <w:t>pmm</w:t>
      </w:r>
      <w:proofErr w:type="spellEnd"/>
      <w:r w:rsidRPr="00592099">
        <w:rPr>
          <w:b w:val="0"/>
          <w:bCs/>
          <w:i w:val="0"/>
          <w:iCs w:val="0"/>
          <w:sz w:val="20"/>
          <w:szCs w:val="20"/>
        </w:rPr>
        <w:t xml:space="preserve">, we did not use the outcome variables in the imputation model, we </w:t>
      </w:r>
      <w:proofErr w:type="spellStart"/>
      <w:r w:rsidRPr="00592099">
        <w:rPr>
          <w:b w:val="0"/>
          <w:bCs/>
          <w:i w:val="0"/>
          <w:iCs w:val="0"/>
          <w:sz w:val="20"/>
          <w:szCs w:val="20"/>
        </w:rPr>
        <w:t>one</w:t>
      </w:r>
      <w:proofErr w:type="spellEnd"/>
      <w:r w:rsidRPr="00592099">
        <w:rPr>
          <w:b w:val="0"/>
          <w:bCs/>
          <w:i w:val="0"/>
          <w:iCs w:val="0"/>
          <w:sz w:val="20"/>
          <w:szCs w:val="20"/>
        </w:rPr>
        <w:t>-hot encoded categorical predictors and binned numeric predictors (age, BMI, and Hba1c), and we used an univariate imputation order given by the decreasing number of missing values; for Mice-norm we included the outcome variables in the imputation model, we used an univariate imputation order given by the increasing number of missing values; for Amelia we included the outcome variables in the imputation model.</w:t>
      </w:r>
    </w:p>
    <w:p w14:paraId="4B337995" w14:textId="77777777" w:rsidR="00777668" w:rsidRPr="00592099" w:rsidRDefault="00000000">
      <w:pPr>
        <w:spacing w:line="360" w:lineRule="auto"/>
        <w:ind w:right="-532"/>
        <w:jc w:val="both"/>
        <w:rPr>
          <w:rFonts w:ascii="Times New Roman" w:eastAsia="Times New Roman" w:hAnsi="Times New Roman" w:cs="Times New Roman"/>
          <w:bCs/>
          <w:sz w:val="20"/>
          <w:szCs w:val="20"/>
        </w:rPr>
      </w:pPr>
      <w:r w:rsidRPr="00592099">
        <w:rPr>
          <w:rFonts w:ascii="Times New Roman" w:hAnsi="Times New Roman" w:cs="Times New Roman"/>
          <w:bCs/>
          <w:sz w:val="20"/>
          <w:szCs w:val="20"/>
        </w:rPr>
        <w:br w:type="page"/>
      </w:r>
    </w:p>
    <w:p w14:paraId="10CC1E7A" w14:textId="77777777" w:rsidR="00777668" w:rsidRPr="00592099" w:rsidRDefault="00000000">
      <w:pPr>
        <w:keepNext/>
        <w:pBdr>
          <w:top w:val="nil"/>
          <w:left w:val="nil"/>
          <w:bottom w:val="nil"/>
          <w:right w:val="nil"/>
          <w:between w:val="nil"/>
        </w:pBdr>
        <w:spacing w:after="200" w:line="360" w:lineRule="auto"/>
        <w:ind w:left="-990" w:right="-532"/>
        <w:jc w:val="both"/>
        <w:rPr>
          <w:rFonts w:ascii="Times New Roman" w:eastAsia="Times New Roman" w:hAnsi="Times New Roman" w:cs="Times New Roman"/>
          <w:bCs/>
          <w:sz w:val="20"/>
          <w:szCs w:val="20"/>
        </w:rPr>
      </w:pPr>
      <w:bookmarkStart w:id="12" w:name="_heading=h.lnxbz9" w:colFirst="0" w:colLast="0"/>
      <w:bookmarkEnd w:id="12"/>
      <w:r w:rsidRPr="00592099">
        <w:rPr>
          <w:rFonts w:ascii="Times New Roman" w:eastAsia="Times New Roman" w:hAnsi="Times New Roman" w:cs="Times New Roman"/>
          <w:bCs/>
          <w:noProof/>
          <w:sz w:val="20"/>
          <w:szCs w:val="20"/>
        </w:rPr>
        <w:lastRenderedPageBreak/>
        <w:drawing>
          <wp:inline distT="0" distB="0" distL="0" distR="0" wp14:anchorId="5F65C364" wp14:editId="5E05B2EF">
            <wp:extent cx="7692289" cy="6799750"/>
            <wp:effectExtent l="0" t="0" r="0" b="0"/>
            <wp:docPr id="134" name="image1.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able&#10;&#10;Description automatically generated"/>
                    <pic:cNvPicPr preferRelativeResize="0"/>
                  </pic:nvPicPr>
                  <pic:blipFill>
                    <a:blip r:embed="rId12"/>
                    <a:srcRect/>
                    <a:stretch>
                      <a:fillRect/>
                    </a:stretch>
                  </pic:blipFill>
                  <pic:spPr>
                    <a:xfrm>
                      <a:off x="0" y="0"/>
                      <a:ext cx="7692289" cy="6799750"/>
                    </a:xfrm>
                    <a:prstGeom prst="rect">
                      <a:avLst/>
                    </a:prstGeom>
                    <a:ln/>
                  </pic:spPr>
                </pic:pic>
              </a:graphicData>
            </a:graphic>
          </wp:inline>
        </w:drawing>
      </w:r>
    </w:p>
    <w:p w14:paraId="01B9DD87" w14:textId="77777777" w:rsidR="00777668" w:rsidRPr="00592099" w:rsidRDefault="00000000">
      <w:pPr>
        <w:pStyle w:val="Heading2"/>
        <w:spacing w:after="200" w:line="360" w:lineRule="auto"/>
        <w:ind w:left="-850" w:right="-1262"/>
        <w:jc w:val="both"/>
        <w:rPr>
          <w:b w:val="0"/>
          <w:bCs/>
          <w:i w:val="0"/>
          <w:iCs w:val="0"/>
          <w:sz w:val="20"/>
          <w:szCs w:val="20"/>
        </w:rPr>
      </w:pPr>
      <w:bookmarkStart w:id="13" w:name="_heading=h.3as4poj" w:colFirst="0" w:colLast="0"/>
      <w:bookmarkEnd w:id="13"/>
      <w:r w:rsidRPr="00592099">
        <w:rPr>
          <w:b w:val="0"/>
          <w:bCs/>
          <w:i w:val="0"/>
          <w:iCs w:val="0"/>
          <w:color w:val="FF0000"/>
          <w:sz w:val="20"/>
          <w:szCs w:val="20"/>
        </w:rPr>
        <w:t>Figure S5</w:t>
      </w:r>
      <w:r w:rsidRPr="00592099">
        <w:rPr>
          <w:b w:val="0"/>
          <w:bCs/>
          <w:i w:val="0"/>
          <w:iCs w:val="0"/>
          <w:sz w:val="20"/>
          <w:szCs w:val="20"/>
        </w:rPr>
        <w:t xml:space="preserve">: Invasive ventilation event: estimates obtained on the complete dataset obtained by listwise deletion (top-left) and on the full dataset by the MI estimation pipelines that using the best </w:t>
      </w:r>
      <w:proofErr w:type="spellStart"/>
      <w:r w:rsidRPr="00592099">
        <w:rPr>
          <w:b w:val="0"/>
          <w:bCs/>
          <w:i w:val="0"/>
          <w:iCs w:val="0"/>
          <w:sz w:val="20"/>
          <w:szCs w:val="20"/>
        </w:rPr>
        <w:t>missRanger</w:t>
      </w:r>
      <w:proofErr w:type="spellEnd"/>
      <w:r w:rsidRPr="00592099">
        <w:rPr>
          <w:b w:val="0"/>
          <w:bCs/>
          <w:i w:val="0"/>
          <w:iCs w:val="0"/>
          <w:sz w:val="20"/>
          <w:szCs w:val="20"/>
        </w:rPr>
        <w:t xml:space="preserve"> (top-right), Amelia (bottom-left), and Mice (bottom-right) models. For </w:t>
      </w:r>
      <w:proofErr w:type="spellStart"/>
      <w:r w:rsidRPr="00592099">
        <w:rPr>
          <w:b w:val="0"/>
          <w:bCs/>
          <w:i w:val="0"/>
          <w:iCs w:val="0"/>
          <w:sz w:val="20"/>
          <w:szCs w:val="20"/>
        </w:rPr>
        <w:t>missRanger</w:t>
      </w:r>
      <w:proofErr w:type="spellEnd"/>
      <w:r w:rsidRPr="00592099">
        <w:rPr>
          <w:b w:val="0"/>
          <w:bCs/>
          <w:i w:val="0"/>
          <w:iCs w:val="0"/>
          <w:sz w:val="20"/>
          <w:szCs w:val="20"/>
        </w:rPr>
        <w:t xml:space="preserve"> we used no </w:t>
      </w:r>
      <w:proofErr w:type="spellStart"/>
      <w:r w:rsidRPr="00592099">
        <w:rPr>
          <w:b w:val="0"/>
          <w:bCs/>
          <w:i w:val="0"/>
          <w:iCs w:val="0"/>
          <w:sz w:val="20"/>
          <w:szCs w:val="20"/>
        </w:rPr>
        <w:t>pmm</w:t>
      </w:r>
      <w:proofErr w:type="spellEnd"/>
      <w:r w:rsidRPr="00592099">
        <w:rPr>
          <w:b w:val="0"/>
          <w:bCs/>
          <w:i w:val="0"/>
          <w:iCs w:val="0"/>
          <w:sz w:val="20"/>
          <w:szCs w:val="20"/>
        </w:rPr>
        <w:t xml:space="preserve">, we did not use the outcome variables in the imputation model, we </w:t>
      </w:r>
      <w:proofErr w:type="spellStart"/>
      <w:r w:rsidRPr="00592099">
        <w:rPr>
          <w:b w:val="0"/>
          <w:bCs/>
          <w:i w:val="0"/>
          <w:iCs w:val="0"/>
          <w:sz w:val="20"/>
          <w:szCs w:val="20"/>
        </w:rPr>
        <w:t>one</w:t>
      </w:r>
      <w:proofErr w:type="spellEnd"/>
      <w:r w:rsidRPr="00592099">
        <w:rPr>
          <w:b w:val="0"/>
          <w:bCs/>
          <w:i w:val="0"/>
          <w:iCs w:val="0"/>
          <w:sz w:val="20"/>
          <w:szCs w:val="20"/>
        </w:rPr>
        <w:t>-hot encoded categorical predictors and binned numeric predictors (age, BMI, and Hba1c), and we used an univariate imputation order given by the decreasing number of missing values; for Mice-norm we included the outcome variables in the imputation model, we used an univariate imputation order given by the increasing number of missing values; for Amelia we included the outcome variables in the imputation model.</w:t>
      </w:r>
      <w:r w:rsidRPr="00592099">
        <w:rPr>
          <w:b w:val="0"/>
          <w:bCs/>
          <w:i w:val="0"/>
          <w:iCs w:val="0"/>
          <w:sz w:val="20"/>
          <w:szCs w:val="20"/>
        </w:rPr>
        <w:br w:type="page"/>
      </w:r>
    </w:p>
    <w:p w14:paraId="52744827" w14:textId="77777777" w:rsidR="00777668" w:rsidRPr="00592099" w:rsidRDefault="00000000">
      <w:pPr>
        <w:keepNext/>
        <w:pBdr>
          <w:top w:val="nil"/>
          <w:left w:val="nil"/>
          <w:bottom w:val="nil"/>
          <w:right w:val="nil"/>
          <w:between w:val="nil"/>
        </w:pBdr>
        <w:spacing w:after="200" w:line="360" w:lineRule="auto"/>
        <w:ind w:left="-990" w:right="-532"/>
        <w:jc w:val="both"/>
        <w:rPr>
          <w:rFonts w:ascii="Times New Roman" w:eastAsia="Times New Roman" w:hAnsi="Times New Roman" w:cs="Times New Roman"/>
          <w:bCs/>
          <w:sz w:val="20"/>
          <w:szCs w:val="20"/>
        </w:rPr>
      </w:pPr>
      <w:bookmarkStart w:id="14" w:name="_heading=h.35nkun2" w:colFirst="0" w:colLast="0"/>
      <w:bookmarkEnd w:id="14"/>
      <w:r w:rsidRPr="00592099">
        <w:rPr>
          <w:rFonts w:ascii="Times New Roman" w:eastAsia="Times New Roman" w:hAnsi="Times New Roman" w:cs="Times New Roman"/>
          <w:bCs/>
          <w:noProof/>
          <w:sz w:val="20"/>
          <w:szCs w:val="20"/>
        </w:rPr>
        <w:lastRenderedPageBreak/>
        <w:drawing>
          <wp:inline distT="0" distB="0" distL="0" distR="0" wp14:anchorId="1BAE7256" wp14:editId="0E651C38">
            <wp:extent cx="7575954" cy="6354405"/>
            <wp:effectExtent l="0" t="0" r="0" b="0"/>
            <wp:docPr id="135" name="image3.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Table&#10;&#10;Description automatically generated"/>
                    <pic:cNvPicPr preferRelativeResize="0"/>
                  </pic:nvPicPr>
                  <pic:blipFill>
                    <a:blip r:embed="rId13"/>
                    <a:srcRect/>
                    <a:stretch>
                      <a:fillRect/>
                    </a:stretch>
                  </pic:blipFill>
                  <pic:spPr>
                    <a:xfrm>
                      <a:off x="0" y="0"/>
                      <a:ext cx="7575954" cy="6354405"/>
                    </a:xfrm>
                    <a:prstGeom prst="rect">
                      <a:avLst/>
                    </a:prstGeom>
                    <a:ln/>
                  </pic:spPr>
                </pic:pic>
              </a:graphicData>
            </a:graphic>
          </wp:inline>
        </w:drawing>
      </w:r>
    </w:p>
    <w:p w14:paraId="28B51E62" w14:textId="326B0B73" w:rsidR="00777668" w:rsidRPr="007345FF" w:rsidRDefault="00000000" w:rsidP="007345FF">
      <w:pPr>
        <w:pStyle w:val="Heading2"/>
        <w:spacing w:after="200" w:line="360" w:lineRule="auto"/>
        <w:ind w:left="-850" w:right="-1172"/>
        <w:jc w:val="both"/>
        <w:rPr>
          <w:b w:val="0"/>
          <w:bCs/>
          <w:i w:val="0"/>
          <w:iCs w:val="0"/>
          <w:sz w:val="20"/>
          <w:szCs w:val="20"/>
        </w:rPr>
      </w:pPr>
      <w:bookmarkStart w:id="15" w:name="_heading=h.1pxezwc" w:colFirst="0" w:colLast="0"/>
      <w:bookmarkEnd w:id="15"/>
      <w:r w:rsidRPr="00592099">
        <w:rPr>
          <w:b w:val="0"/>
          <w:bCs/>
          <w:i w:val="0"/>
          <w:iCs w:val="0"/>
          <w:color w:val="FF0000"/>
          <w:sz w:val="20"/>
          <w:szCs w:val="20"/>
        </w:rPr>
        <w:t>Figure S6</w:t>
      </w:r>
      <w:r w:rsidRPr="00592099">
        <w:rPr>
          <w:b w:val="0"/>
          <w:bCs/>
          <w:i w:val="0"/>
          <w:iCs w:val="0"/>
          <w:sz w:val="20"/>
          <w:szCs w:val="20"/>
        </w:rPr>
        <w:t xml:space="preserve">: Death event: estimates obtained on the complete dataset obtained by listwise deletion (top-left) and on the full dataset by the MI estimation pipelines that using the best </w:t>
      </w:r>
      <w:proofErr w:type="spellStart"/>
      <w:r w:rsidRPr="00592099">
        <w:rPr>
          <w:b w:val="0"/>
          <w:bCs/>
          <w:i w:val="0"/>
          <w:iCs w:val="0"/>
          <w:sz w:val="20"/>
          <w:szCs w:val="20"/>
        </w:rPr>
        <w:t>missRanger</w:t>
      </w:r>
      <w:proofErr w:type="spellEnd"/>
      <w:r w:rsidRPr="00592099">
        <w:rPr>
          <w:b w:val="0"/>
          <w:bCs/>
          <w:i w:val="0"/>
          <w:iCs w:val="0"/>
          <w:sz w:val="20"/>
          <w:szCs w:val="20"/>
        </w:rPr>
        <w:t xml:space="preserve"> (top-right), Amelia (bottom-left), and Mice (bottom-right) models. For </w:t>
      </w:r>
      <w:proofErr w:type="spellStart"/>
      <w:r w:rsidRPr="00592099">
        <w:rPr>
          <w:b w:val="0"/>
          <w:bCs/>
          <w:i w:val="0"/>
          <w:iCs w:val="0"/>
          <w:sz w:val="20"/>
          <w:szCs w:val="20"/>
        </w:rPr>
        <w:t>missRanger</w:t>
      </w:r>
      <w:proofErr w:type="spellEnd"/>
      <w:r w:rsidRPr="00592099">
        <w:rPr>
          <w:b w:val="0"/>
          <w:bCs/>
          <w:i w:val="0"/>
          <w:iCs w:val="0"/>
          <w:sz w:val="20"/>
          <w:szCs w:val="20"/>
        </w:rPr>
        <w:t xml:space="preserve"> we used no </w:t>
      </w:r>
      <w:proofErr w:type="spellStart"/>
      <w:r w:rsidRPr="00592099">
        <w:rPr>
          <w:b w:val="0"/>
          <w:bCs/>
          <w:i w:val="0"/>
          <w:iCs w:val="0"/>
          <w:sz w:val="20"/>
          <w:szCs w:val="20"/>
        </w:rPr>
        <w:t>pmm</w:t>
      </w:r>
      <w:proofErr w:type="spellEnd"/>
      <w:r w:rsidRPr="00592099">
        <w:rPr>
          <w:b w:val="0"/>
          <w:bCs/>
          <w:i w:val="0"/>
          <w:iCs w:val="0"/>
          <w:sz w:val="20"/>
          <w:szCs w:val="20"/>
        </w:rPr>
        <w:t xml:space="preserve">, we did not use the outcome variables in the imputation model, we </w:t>
      </w:r>
      <w:proofErr w:type="spellStart"/>
      <w:r w:rsidRPr="00592099">
        <w:rPr>
          <w:b w:val="0"/>
          <w:bCs/>
          <w:i w:val="0"/>
          <w:iCs w:val="0"/>
          <w:sz w:val="20"/>
          <w:szCs w:val="20"/>
        </w:rPr>
        <w:t>one</w:t>
      </w:r>
      <w:proofErr w:type="spellEnd"/>
      <w:r w:rsidRPr="00592099">
        <w:rPr>
          <w:b w:val="0"/>
          <w:bCs/>
          <w:i w:val="0"/>
          <w:iCs w:val="0"/>
          <w:sz w:val="20"/>
          <w:szCs w:val="20"/>
        </w:rPr>
        <w:t>-hot encoded categorical predictors and binned numeric predictors (age, BMI, and Hba1c), and we used an univariate imputation order given by the decreasing number of missing values; for Mice-norm we included the outcome variables in the imputation model, we used an univariate imputation order given by the increasing number of missing values; for Amelia we included the outcome variables in the imputation model.</w:t>
      </w:r>
      <w:bookmarkStart w:id="16" w:name="_heading=h.dptlxjzi0tcv" w:colFirst="0" w:colLast="0"/>
      <w:bookmarkEnd w:id="16"/>
    </w:p>
    <w:sectPr w:rsidR="00777668" w:rsidRPr="007345FF">
      <w:headerReference w:type="default" r:id="rId14"/>
      <w:footerReference w:type="default" r:id="rId15"/>
      <w:pgSz w:w="12240" w:h="15840"/>
      <w:pgMar w:top="360" w:right="1440" w:bottom="1440" w:left="992" w:header="680" w:footer="68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C5CBA" w14:textId="77777777" w:rsidR="000446FE" w:rsidRDefault="000446FE">
      <w:r>
        <w:separator/>
      </w:r>
    </w:p>
  </w:endnote>
  <w:endnote w:type="continuationSeparator" w:id="0">
    <w:p w14:paraId="2BA52D8B" w14:textId="77777777" w:rsidR="000446FE" w:rsidRDefault="00044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DD69B" w14:textId="77777777" w:rsidR="00777668" w:rsidRDefault="00000000">
    <w:pPr>
      <w:jc w:val="right"/>
    </w:pPr>
    <w:r>
      <w:fldChar w:fldCharType="begin"/>
    </w:r>
    <w:r>
      <w:instrText>PAGE</w:instrText>
    </w:r>
    <w:r>
      <w:fldChar w:fldCharType="separate"/>
    </w:r>
    <w:r w:rsidR="00955776">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E9118" w14:textId="77777777" w:rsidR="000446FE" w:rsidRDefault="000446FE">
      <w:r>
        <w:separator/>
      </w:r>
    </w:p>
  </w:footnote>
  <w:footnote w:type="continuationSeparator" w:id="0">
    <w:p w14:paraId="41F26599" w14:textId="77777777" w:rsidR="000446FE" w:rsidRDefault="00044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62B45" w14:textId="77777777" w:rsidR="00777668" w:rsidRDefault="007776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9145F"/>
    <w:multiLevelType w:val="multilevel"/>
    <w:tmpl w:val="472260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E4A36F2"/>
    <w:multiLevelType w:val="multilevel"/>
    <w:tmpl w:val="28FCA43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15:restartNumberingAfterBreak="0">
    <w:nsid w:val="577202FD"/>
    <w:multiLevelType w:val="multilevel"/>
    <w:tmpl w:val="890AB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94F7330"/>
    <w:multiLevelType w:val="multilevel"/>
    <w:tmpl w:val="8CD67260"/>
    <w:lvl w:ilvl="0">
      <w:start w:val="4"/>
      <w:numFmt w:val="upperRoman"/>
      <w:lvlText w:val="%1."/>
      <w:lvlJc w:val="right"/>
      <w:pPr>
        <w:ind w:left="1440" w:hanging="360"/>
      </w:pPr>
      <w:rPr>
        <w:u w:val="none"/>
      </w:rPr>
    </w:lvl>
    <w:lvl w:ilvl="1">
      <w:start w:val="2"/>
      <w:numFmt w:val="upp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5AB76A7E"/>
    <w:multiLevelType w:val="multilevel"/>
    <w:tmpl w:val="4AD4F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1B5182C"/>
    <w:multiLevelType w:val="multilevel"/>
    <w:tmpl w:val="22F6A9C2"/>
    <w:lvl w:ilvl="0">
      <w:start w:val="1"/>
      <w:numFmt w:val="upperRoman"/>
      <w:lvlText w:val="%1."/>
      <w:lvlJc w:val="right"/>
      <w:pPr>
        <w:ind w:left="1440" w:hanging="360"/>
      </w:pPr>
      <w:rPr>
        <w:u w:val="none"/>
      </w:rPr>
    </w:lvl>
    <w:lvl w:ilvl="1">
      <w:start w:val="2"/>
      <w:numFmt w:val="upp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7AFA26E5"/>
    <w:multiLevelType w:val="multilevel"/>
    <w:tmpl w:val="A2D40A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657226660">
    <w:abstractNumId w:val="2"/>
  </w:num>
  <w:num w:numId="2" w16cid:durableId="547574234">
    <w:abstractNumId w:val="4"/>
  </w:num>
  <w:num w:numId="3" w16cid:durableId="1117484236">
    <w:abstractNumId w:val="1"/>
  </w:num>
  <w:num w:numId="4" w16cid:durableId="876162143">
    <w:abstractNumId w:val="5"/>
  </w:num>
  <w:num w:numId="5" w16cid:durableId="1890266993">
    <w:abstractNumId w:val="0"/>
  </w:num>
  <w:num w:numId="6" w16cid:durableId="677581516">
    <w:abstractNumId w:val="3"/>
  </w:num>
  <w:num w:numId="7" w16cid:durableId="1709961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668"/>
    <w:rsid w:val="000446FE"/>
    <w:rsid w:val="00297F64"/>
    <w:rsid w:val="00592099"/>
    <w:rsid w:val="007345FF"/>
    <w:rsid w:val="00777668"/>
    <w:rsid w:val="007C3859"/>
    <w:rsid w:val="00955776"/>
    <w:rsid w:val="00BA393B"/>
    <w:rsid w:val="00BE2970"/>
    <w:rsid w:val="00C75B84"/>
    <w:rsid w:val="00DF380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809D0"/>
  <w15:docId w15:val="{3354676B-9198-4B68-B149-FF329CA17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3E6C"/>
  </w:style>
  <w:style w:type="paragraph" w:styleId="Heading1">
    <w:name w:val="heading 1"/>
    <w:basedOn w:val="Heading2"/>
    <w:next w:val="Normal"/>
    <w:uiPriority w:val="9"/>
    <w:qFormat/>
    <w:rsid w:val="00B7191C"/>
    <w:pPr>
      <w:spacing w:line="276" w:lineRule="auto"/>
      <w:outlineLvl w:val="0"/>
    </w:pPr>
    <w:rPr>
      <w:i w:val="0"/>
      <w:iCs w:val="0"/>
      <w:sz w:val="26"/>
      <w:szCs w:val="26"/>
    </w:rPr>
  </w:style>
  <w:style w:type="paragraph" w:styleId="Heading2">
    <w:name w:val="heading 2"/>
    <w:basedOn w:val="Normal"/>
    <w:next w:val="Normal"/>
    <w:uiPriority w:val="9"/>
    <w:unhideWhenUsed/>
    <w:qFormat/>
    <w:rsid w:val="0092117C"/>
    <w:pPr>
      <w:keepNext/>
      <w:keepLines/>
      <w:spacing w:before="480" w:after="360"/>
      <w:outlineLvl w:val="1"/>
    </w:pPr>
    <w:rPr>
      <w:rFonts w:ascii="Times New Roman" w:hAnsi="Times New Roman" w:cs="Times New Roman"/>
      <w:b/>
      <w:i/>
      <w:iCs/>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outlineLvl w:val="3"/>
    </w:pPr>
    <w:rPr>
      <w:b/>
      <w:sz w:val="22"/>
      <w:szCs w:val="22"/>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B7191C"/>
    <w:pPr>
      <w:keepNext/>
      <w:keepLines/>
      <w:spacing w:before="480" w:after="120" w:line="276" w:lineRule="auto"/>
    </w:pPr>
    <w:rPr>
      <w:rFonts w:ascii="Times New Roman" w:hAnsi="Times New Roman" w:cs="Times New Roman"/>
      <w:b/>
      <w:sz w:val="28"/>
      <w:szCs w:val="2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styleId="TableGrid">
    <w:name w:val="Table Grid"/>
    <w:basedOn w:val="TableNormal"/>
    <w:uiPriority w:val="39"/>
    <w:rsid w:val="00B812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E1F97"/>
    <w:pPr>
      <w:spacing w:after="200"/>
    </w:pPr>
    <w:rPr>
      <w:i/>
      <w:iCs/>
      <w:color w:val="44546A" w:themeColor="text2"/>
      <w:sz w:val="18"/>
      <w:szCs w:val="18"/>
    </w:rPr>
  </w:style>
  <w:style w:type="character" w:styleId="Emphasis">
    <w:name w:val="Emphasis"/>
    <w:basedOn w:val="DefaultParagraphFont"/>
    <w:uiPriority w:val="20"/>
    <w:qFormat/>
    <w:rsid w:val="00775F98"/>
    <w:rPr>
      <w:i/>
      <w:iCs/>
    </w:rPr>
  </w:style>
  <w:style w:type="paragraph" w:styleId="CommentSubject">
    <w:name w:val="annotation subject"/>
    <w:basedOn w:val="CommentText"/>
    <w:next w:val="CommentText"/>
    <w:link w:val="CommentSubjectChar"/>
    <w:uiPriority w:val="99"/>
    <w:semiHidden/>
    <w:unhideWhenUsed/>
    <w:rsid w:val="00254F16"/>
    <w:rPr>
      <w:b/>
      <w:bCs/>
    </w:rPr>
  </w:style>
  <w:style w:type="character" w:customStyle="1" w:styleId="CommentSubjectChar">
    <w:name w:val="Comment Subject Char"/>
    <w:basedOn w:val="CommentTextChar"/>
    <w:link w:val="CommentSubject"/>
    <w:uiPriority w:val="99"/>
    <w:semiHidden/>
    <w:rsid w:val="00254F16"/>
    <w:rPr>
      <w:b/>
      <w:bCs/>
      <w:sz w:val="20"/>
      <w:szCs w:val="20"/>
    </w:r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customStyle="1" w:styleId="captionstytle">
    <w:name w:val="caption_stytle"/>
    <w:basedOn w:val="Normal"/>
    <w:link w:val="captionstytleChar"/>
    <w:qFormat/>
    <w:rsid w:val="00B84D26"/>
    <w:pPr>
      <w:keepNext/>
      <w:spacing w:after="200" w:line="276" w:lineRule="auto"/>
      <w:jc w:val="both"/>
    </w:pPr>
    <w:rPr>
      <w:rFonts w:ascii="Times New Roman" w:hAnsi="Times New Roman" w:cs="Times New Roman"/>
      <w:i/>
      <w:color w:val="44546A"/>
      <w:sz w:val="20"/>
      <w:szCs w:val="20"/>
    </w:rPr>
  </w:style>
  <w:style w:type="character" w:customStyle="1" w:styleId="captionstytleChar">
    <w:name w:val="caption_stytle Char"/>
    <w:basedOn w:val="DefaultParagraphFont"/>
    <w:link w:val="captionstytle"/>
    <w:rsid w:val="00B84D26"/>
    <w:rPr>
      <w:rFonts w:ascii="Times New Roman" w:hAnsi="Times New Roman" w:cs="Times New Roman"/>
      <w:i/>
      <w:color w:val="44546A"/>
      <w:sz w:val="20"/>
      <w:szCs w:val="20"/>
    </w:rPr>
  </w:style>
  <w:style w:type="character" w:styleId="Hyperlink">
    <w:name w:val="Hyperlink"/>
    <w:basedOn w:val="DefaultParagraphFont"/>
    <w:uiPriority w:val="99"/>
    <w:unhideWhenUsed/>
    <w:rsid w:val="00576226"/>
    <w:rPr>
      <w:color w:val="0563C1" w:themeColor="hyperlink"/>
      <w:u w:val="single"/>
    </w:rPr>
  </w:style>
  <w:style w:type="character" w:styleId="UnresolvedMention">
    <w:name w:val="Unresolved Mention"/>
    <w:basedOn w:val="DefaultParagraphFont"/>
    <w:uiPriority w:val="99"/>
    <w:semiHidden/>
    <w:unhideWhenUsed/>
    <w:rsid w:val="00576226"/>
    <w:rPr>
      <w:color w:val="605E5C"/>
      <w:shd w:val="clear" w:color="auto" w:fill="E1DFDD"/>
    </w:rPr>
  </w:style>
  <w:style w:type="paragraph" w:styleId="FootnoteText">
    <w:name w:val="footnote text"/>
    <w:basedOn w:val="Normal"/>
    <w:link w:val="FootnoteTextChar"/>
    <w:uiPriority w:val="99"/>
    <w:semiHidden/>
    <w:unhideWhenUsed/>
    <w:rsid w:val="00DE1B70"/>
    <w:rPr>
      <w:sz w:val="20"/>
      <w:szCs w:val="20"/>
    </w:rPr>
  </w:style>
  <w:style w:type="character" w:customStyle="1" w:styleId="FootnoteTextChar">
    <w:name w:val="Footnote Text Char"/>
    <w:basedOn w:val="DefaultParagraphFont"/>
    <w:link w:val="FootnoteText"/>
    <w:uiPriority w:val="99"/>
    <w:semiHidden/>
    <w:rsid w:val="00DE1B70"/>
    <w:rPr>
      <w:sz w:val="20"/>
      <w:szCs w:val="20"/>
    </w:rPr>
  </w:style>
  <w:style w:type="character" w:styleId="FootnoteReference">
    <w:name w:val="footnote reference"/>
    <w:basedOn w:val="DefaultParagraphFont"/>
    <w:uiPriority w:val="99"/>
    <w:semiHidden/>
    <w:unhideWhenUsed/>
    <w:rsid w:val="00DE1B70"/>
    <w:rPr>
      <w:vertAlign w:val="superscript"/>
    </w:rPr>
  </w:style>
  <w:style w:type="character" w:styleId="PlaceholderText">
    <w:name w:val="Placeholder Text"/>
    <w:basedOn w:val="DefaultParagraphFont"/>
    <w:uiPriority w:val="99"/>
    <w:semiHidden/>
    <w:rsid w:val="002745BE"/>
    <w:rPr>
      <w:color w:val="808080"/>
    </w:rPr>
  </w:style>
  <w:style w:type="paragraph" w:styleId="Revision">
    <w:name w:val="Revision"/>
    <w:hidden/>
    <w:uiPriority w:val="99"/>
    <w:semiHidden/>
    <w:rsid w:val="00A92F76"/>
  </w:style>
  <w:style w:type="paragraph" w:styleId="ListParagraph">
    <w:name w:val="List Paragraph"/>
    <w:basedOn w:val="Normal"/>
    <w:uiPriority w:val="34"/>
    <w:qFormat/>
    <w:rsid w:val="00CB3B69"/>
    <w:pPr>
      <w:ind w:left="720"/>
      <w:contextualSpacing/>
    </w:pPr>
  </w:style>
  <w:style w:type="character" w:styleId="Strong">
    <w:name w:val="Strong"/>
    <w:basedOn w:val="DefaultParagraphFont"/>
    <w:uiPriority w:val="22"/>
    <w:qFormat/>
    <w:rsid w:val="00C82C13"/>
    <w:rPr>
      <w:b/>
      <w:bCs/>
    </w:rPr>
  </w:style>
  <w:style w:type="table" w:customStyle="1" w:styleId="af2">
    <w:basedOn w:val="TableNormal"/>
    <w:tblPr>
      <w:tblStyleRowBandSize w:val="1"/>
      <w:tblStyleColBandSize w:val="1"/>
      <w:tblCellMar>
        <w:top w:w="43" w:type="dxa"/>
        <w:left w:w="100" w:type="dxa"/>
        <w:bottom w:w="43"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top w:w="100" w:type="dxa"/>
        <w:left w:w="115" w:type="dxa"/>
        <w:bottom w:w="100" w:type="dxa"/>
        <w:right w:w="115" w:type="dxa"/>
      </w:tblCellMar>
    </w:tblPr>
  </w:style>
  <w:style w:type="table" w:customStyle="1" w:styleId="afff">
    <w:basedOn w:val="TableNormal"/>
    <w:tblPr>
      <w:tblStyleRowBandSize w:val="1"/>
      <w:tblStyleColBandSize w:val="1"/>
      <w:tblCellMar>
        <w:top w:w="100" w:type="dxa"/>
        <w:left w:w="115" w:type="dxa"/>
        <w:bottom w:w="100" w:type="dxa"/>
        <w:right w:w="115" w:type="dxa"/>
      </w:tblCellMar>
    </w:tblPr>
  </w:style>
  <w:style w:type="table" w:customStyle="1" w:styleId="afff0">
    <w:basedOn w:val="TableNormal"/>
    <w:tblPr>
      <w:tblStyleRowBandSize w:val="1"/>
      <w:tblStyleColBandSize w:val="1"/>
      <w:tblCellMar>
        <w:top w:w="100" w:type="dxa"/>
        <w:left w:w="115" w:type="dxa"/>
        <w:bottom w:w="100" w:type="dxa"/>
        <w:right w:w="115" w:type="dxa"/>
      </w:tblCellMar>
    </w:tblPr>
  </w:style>
  <w:style w:type="table" w:customStyle="1" w:styleId="afff1">
    <w:basedOn w:val="TableNormal"/>
    <w:tblPr>
      <w:tblStyleRowBandSize w:val="1"/>
      <w:tblStyleColBandSize w:val="1"/>
      <w:tblCellMar>
        <w:top w:w="100" w:type="dxa"/>
        <w:left w:w="115" w:type="dxa"/>
        <w:bottom w:w="100" w:type="dxa"/>
        <w:right w:w="115" w:type="dxa"/>
      </w:tblCellMar>
    </w:tblPr>
  </w:style>
  <w:style w:type="table" w:customStyle="1" w:styleId="afff2">
    <w:basedOn w:val="TableNormal"/>
    <w:tblPr>
      <w:tblStyleRowBandSize w:val="1"/>
      <w:tblStyleColBandSize w:val="1"/>
      <w:tblCellMar>
        <w:top w:w="100" w:type="dxa"/>
        <w:left w:w="115" w:type="dxa"/>
        <w:bottom w:w="100" w:type="dxa"/>
        <w:right w:w="115" w:type="dxa"/>
      </w:tblCellMar>
    </w:tblPr>
  </w:style>
  <w:style w:type="table" w:customStyle="1" w:styleId="afff3">
    <w:basedOn w:val="TableNormal"/>
    <w:tblPr>
      <w:tblStyleRowBandSize w:val="1"/>
      <w:tblStyleColBandSize w:val="1"/>
      <w:tblCellMar>
        <w:top w:w="100" w:type="dxa"/>
        <w:left w:w="115" w:type="dxa"/>
        <w:bottom w:w="100" w:type="dxa"/>
        <w:right w:w="115" w:type="dxa"/>
      </w:tblCellMar>
    </w:tblPr>
  </w:style>
  <w:style w:type="table" w:customStyle="1" w:styleId="afff4">
    <w:basedOn w:val="TableNormal"/>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7bYNXTO8bmPTFJyaKCc7Rm2o7A==">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1518</Words>
  <Characters>8653</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Wong, Rachel</dc:creator>
  <cp:lastModifiedBy>Elena Casiraghi</cp:lastModifiedBy>
  <cp:revision>3</cp:revision>
  <cp:lastPrinted>2023-01-16T19:37:00Z</cp:lastPrinted>
  <dcterms:created xsi:type="dcterms:W3CDTF">2023-01-16T19:36:00Z</dcterms:created>
  <dcterms:modified xsi:type="dcterms:W3CDTF">2023-01-16T19:37:00Z</dcterms:modified>
</cp:coreProperties>
</file>